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«Колесо здоровья»: набор специальных купонов,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направленный 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 на льготных условиях».</w:t>
      </w:r>
    </w:p>
    <w:p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«Колесо здоровья»: набор специальных купонов, направленный на прохождении медицинских услуг на льготных условиях» далее («Акция»).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:rsidR="00CA409A" w:rsidRPr="00727620" w:rsidRDefault="00D94B6E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Тюмень»).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626051, Тюменская область, город Тюмень, улица Василия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дом 10/57.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5D2" w:rsidRPr="00727620" w:rsidRDefault="006935D2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нование организации: ОБЩЕСТВО С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ОГРАНИЧЕННОЙ ОТВЕТСВЕННОСТЬЮ «БИОМЕД+»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БиоМед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+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»). 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625047, г. Тюмень,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ул.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Шебалдина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, д. 13 строение 1, этаж 1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</w:t>
      </w:r>
    </w:p>
    <w:p w:rsidR="00CA409A" w:rsidRPr="00727620" w:rsidRDefault="006935D2" w:rsidP="006935D2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6935D2" w:rsidRPr="00727620" w:rsidRDefault="00727620" w:rsidP="00CA40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:rsidR="006935D2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1197232013725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</w:t>
      </w:r>
    </w:p>
    <w:p w:rsidR="00CA409A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CA409A" w:rsidRPr="00727620" w:rsidRDefault="00CA409A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625063, Тюменская область, г Тюмень, ул. Александра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д. 4,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помещ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 1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7203541953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/720301001</w:t>
      </w:r>
    </w:p>
    <w:p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:rsidR="0013077E" w:rsidRPr="00727620" w:rsidRDefault="0013077E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13077E" w:rsidRPr="00727620" w:rsidRDefault="0013077E" w:rsidP="0013077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«Качество в крови» (далее – «Качество в крови»)</w:t>
      </w:r>
    </w:p>
    <w:p w:rsidR="001039B5" w:rsidRPr="00727620" w:rsidRDefault="0013077E" w:rsidP="00130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7203414024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720301001</w:t>
      </w:r>
    </w:p>
    <w:p w:rsidR="00D343E2" w:rsidRPr="00727620" w:rsidRDefault="00727620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</w:t>
      </w:r>
      <w:r w:rsidR="0013077E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13077E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7E6245" w:rsidRPr="00727620" w:rsidRDefault="007E6245" w:rsidP="00D343E2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proofErr w:type="gram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5.Полное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фирменное наименование организации: ОБЩЕСТВО С              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Юридический адрес: 625022 Тюменская Область Тюмень Улица Газовиков</w:t>
      </w:r>
    </w:p>
    <w:p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7203428852</w:t>
      </w:r>
      <w:proofErr w:type="gramEnd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:rsidR="00D343E2" w:rsidRPr="00727620" w:rsidRDefault="007E6245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</w:t>
      </w:r>
      <w:r w:rsid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lastRenderedPageBreak/>
        <w:t xml:space="preserve">2.6.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</w:t>
      </w:r>
      <w:proofErr w:type="gramStart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»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»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(далее – «Энергия жизни»)</w:t>
      </w:r>
    </w:p>
    <w:p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:rsidR="00D343E2" w:rsidRPr="00727620" w:rsidRDefault="00D343E2" w:rsidP="00D343E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Южная </w:t>
      </w:r>
      <w:proofErr w:type="spellStart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, д. 2, кв. 30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</w:p>
    <w:p w:rsidR="00D343E2" w:rsidRPr="00727620" w:rsidRDefault="00727620" w:rsidP="00D343E2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proofErr w:type="gramEnd"/>
      <w:r w:rsidR="00D343E2" w:rsidRPr="0072762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"АЗБУКА МЕД"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«АЗБУКА МЕД</w:t>
      </w:r>
      <w:r w:rsidR="00BD0FE4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proofErr w:type="spellStart"/>
      <w:r w:rsidRPr="00727620">
        <w:rPr>
          <w:rFonts w:ascii="Times New Roman" w:hAnsi="Times New Roman" w:cs="Times New Roman"/>
          <w:color w:val="111827"/>
          <w:sz w:val="24"/>
          <w:szCs w:val="24"/>
        </w:rPr>
        <w:t>Батюков</w:t>
      </w:r>
      <w:proofErr w:type="spellEnd"/>
      <w:r w:rsidRPr="00727620">
        <w:rPr>
          <w:rFonts w:ascii="Times New Roman" w:hAnsi="Times New Roman" w:cs="Times New Roman"/>
          <w:color w:val="111827"/>
          <w:sz w:val="24"/>
          <w:szCs w:val="24"/>
        </w:rPr>
        <w:t xml:space="preserve"> Ю.А</w:t>
      </w:r>
    </w:p>
    <w:p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7203577050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:rsidR="00D343E2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:rsidR="00BD0FE4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:rsidR="0015390B" w:rsidRPr="00727620" w:rsidRDefault="0015390B" w:rsidP="0015390B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Ямская, 86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proofErr w:type="spellStart"/>
      <w:proofErr w:type="gramStart"/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пос.Московский</w:t>
      </w:r>
      <w:proofErr w:type="spellEnd"/>
      <w:proofErr w:type="gram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Джанбровского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</w:t>
      </w:r>
    </w:p>
    <w:p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Федерация, Тюменская область, с. Перевалово</w:t>
      </w: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Заречная, 25А</w:t>
      </w:r>
    </w:p>
    <w:p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:rsidR="00D94B6E" w:rsidRPr="00727620" w:rsidRDefault="00D94B6E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B00C8F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:rsidR="0015390B" w:rsidRPr="00727620" w:rsidRDefault="008C6722" w:rsidP="00B00C8F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5390B" w:rsidRPr="00727620">
          <w:rPr>
            <w:rStyle w:val="fontstyle0"/>
            <w:rFonts w:ascii="Times New Roman" w:hAnsi="Times New Roman" w:cs="Times New Roman"/>
            <w:color w:val="000000" w:themeColor="text1"/>
            <w:sz w:val="24"/>
            <w:szCs w:val="24"/>
          </w:rPr>
          <w:t>Л041-01107-72/00348054 </w:t>
        </w:r>
        <w:r w:rsidR="0015390B" w:rsidRPr="0072762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от 29.12.2020 г.</w:t>
        </w:r>
      </w:hyperlink>
      <w:r w:rsidR="0015390B" w:rsidRPr="00727620">
        <w:rPr>
          <w:rStyle w:val="a4"/>
          <w:rFonts w:ascii="Times New Roman" w:hAnsi="Times New Roman" w:cs="Times New Roman"/>
          <w:color w:val="00BE6E"/>
          <w:sz w:val="24"/>
          <w:szCs w:val="24"/>
        </w:rPr>
        <w:br/>
      </w:r>
      <w:r w:rsidR="0015390B" w:rsidRPr="00727620">
        <w:rPr>
          <w:rFonts w:ascii="Times New Roman" w:hAnsi="Times New Roman" w:cs="Times New Roman"/>
          <w:sz w:val="24"/>
          <w:szCs w:val="24"/>
        </w:rPr>
        <w:t>Л041-01107-72/01241942 от 10.06.24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>Л041-01107-72/00350770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 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 21.01.22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Л041-01107-72/01943336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04.03.25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Л041-01107-72/00621328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14.10.22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Л041-01107-72/00382037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27.05.20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Л041-01107-72/00315718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15.08.17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</w:r>
    </w:p>
    <w:p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.1. Участниками Акции являются совершеннолетние физические лица, дееспособные, 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>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:rsidR="00D94B6E" w:rsidRPr="00D94B6E" w:rsidRDefault="00D94B6E" w:rsidP="00D9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:rsidR="00D94B6E" w:rsidRPr="00D94B6E" w:rsidRDefault="00D94B6E" w:rsidP="00D94B6E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6" w:history="1">
        <w:r w:rsidRPr="00727620">
          <w:rPr>
            <w:rFonts w:ascii="Times New Roman" w:eastAsia="Times New Roman" w:hAnsi="Times New Roman" w:cs="Times New Roman"/>
            <w:color w:val="45B553"/>
            <w:sz w:val="24"/>
            <w:szCs w:val="24"/>
            <w:u w:val="single"/>
            <w:lang w:eastAsia="ru-RU"/>
          </w:rPr>
          <w:t>https://helix.expert</w:t>
        </w:r>
      </w:hyperlink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:rsidR="00B00C8F" w:rsidRPr="00727620" w:rsidRDefault="00D94B6E" w:rsidP="00B00C8F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можно получить у администраторов медицинских центров, а также по телефону горячей линии </w:t>
      </w:r>
      <w:hyperlink r:id="rId7" w:history="1">
        <w:r w:rsidRPr="00727620">
          <w:rPr>
            <w:rFonts w:ascii="Times New Roman" w:eastAsia="Times New Roman" w:hAnsi="Times New Roman" w:cs="Times New Roman"/>
            <w:color w:val="45B553"/>
            <w:sz w:val="24"/>
            <w:szCs w:val="24"/>
            <w:u w:val="single"/>
            <w:lang w:eastAsia="ru-RU"/>
          </w:rPr>
          <w:t>+73452515144</w:t>
        </w:r>
      </w:hyperlink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 для звонков с территории Российской Федерации.</w:t>
      </w:r>
    </w:p>
    <w:p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:rsidR="00B00C8F" w:rsidRPr="00727620" w:rsidRDefault="00B00C8F" w:rsidP="00B00C8F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:rsidR="00B00C8F" w:rsidRPr="00727620" w:rsidRDefault="00B00C8F" w:rsidP="00B00C8F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>При</w:t>
      </w:r>
      <w:r w:rsidR="00727620">
        <w:rPr>
          <w:rFonts w:ascii="Times New Roman" w:hAnsi="Times New Roman" w:cs="Times New Roman"/>
          <w:bCs/>
          <w:sz w:val="24"/>
          <w:szCs w:val="24"/>
        </w:rPr>
        <w:t xml:space="preserve"> сумме чека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 от 3000 </w:t>
      </w:r>
      <w:r w:rsidR="00727620">
        <w:rPr>
          <w:rFonts w:ascii="Times New Roman" w:hAnsi="Times New Roman" w:cs="Times New Roman"/>
          <w:bCs/>
          <w:sz w:val="24"/>
          <w:szCs w:val="24"/>
        </w:rPr>
        <w:t xml:space="preserve">(трех тысяч) 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рублей, клиенту предоставляется право “испытать удачу” </w:t>
      </w:r>
      <w:r w:rsidR="001635C7">
        <w:rPr>
          <w:rFonts w:ascii="Times New Roman" w:hAnsi="Times New Roman" w:cs="Times New Roman"/>
          <w:bCs/>
          <w:sz w:val="24"/>
          <w:szCs w:val="24"/>
        </w:rPr>
        <w:t>– пр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окрутить «Колесо здоровья». 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>Крутить «Колесо здоровья» можно только один раз</w:t>
      </w:r>
      <w:r w:rsidR="00EF14B7">
        <w:rPr>
          <w:rFonts w:ascii="Times New Roman" w:hAnsi="Times New Roman" w:cs="Times New Roman"/>
          <w:bCs/>
          <w:sz w:val="24"/>
          <w:szCs w:val="24"/>
        </w:rPr>
        <w:t>, д</w:t>
      </w:r>
      <w:r w:rsidR="00DC1F36">
        <w:rPr>
          <w:rFonts w:ascii="Times New Roman" w:hAnsi="Times New Roman" w:cs="Times New Roman"/>
          <w:bCs/>
          <w:sz w:val="24"/>
          <w:szCs w:val="24"/>
        </w:rPr>
        <w:t>аже если сумма чека кратна 3000 рублей.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Клиент может воспользоваться купоном </w:t>
      </w:r>
      <w:r w:rsidR="00DC1F36">
        <w:rPr>
          <w:rFonts w:ascii="Times New Roman" w:hAnsi="Times New Roman" w:cs="Times New Roman"/>
          <w:bCs/>
          <w:sz w:val="24"/>
          <w:szCs w:val="24"/>
        </w:rPr>
        <w:t>только при следующем посещении</w:t>
      </w:r>
      <w:r w:rsidRPr="00727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При посещении нескольких услуг скидка ставится на наименьшую позицию. 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Клиент имеет право </w:t>
      </w:r>
      <w:r w:rsidR="00727620">
        <w:rPr>
          <w:rFonts w:ascii="Times New Roman" w:hAnsi="Times New Roman" w:cs="Times New Roman"/>
          <w:bCs/>
          <w:sz w:val="24"/>
          <w:szCs w:val="24"/>
        </w:rPr>
        <w:t>отказа</w:t>
      </w:r>
      <w:r w:rsidRPr="00727620">
        <w:rPr>
          <w:rFonts w:ascii="Times New Roman" w:hAnsi="Times New Roman" w:cs="Times New Roman"/>
          <w:bCs/>
          <w:sz w:val="24"/>
          <w:szCs w:val="24"/>
        </w:rPr>
        <w:t>т</w:t>
      </w:r>
      <w:r w:rsidR="00727620">
        <w:rPr>
          <w:rFonts w:ascii="Times New Roman" w:hAnsi="Times New Roman" w:cs="Times New Roman"/>
          <w:bCs/>
          <w:sz w:val="24"/>
          <w:szCs w:val="24"/>
        </w:rPr>
        <w:t>ь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ся от выигрышной позиции, в этом случае администратор не выдает купон. 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Если стрелка останавливается между двумя позициями, то клиенту </w:t>
      </w:r>
      <w:r w:rsidR="00727620">
        <w:rPr>
          <w:rFonts w:ascii="Times New Roman" w:hAnsi="Times New Roman" w:cs="Times New Roman"/>
          <w:bCs/>
          <w:sz w:val="24"/>
          <w:szCs w:val="24"/>
        </w:rPr>
        <w:t>предоставляется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 право выбора понравившейся больше позиции.</w:t>
      </w:r>
    </w:p>
    <w:p w:rsidR="00B00C8F" w:rsidRPr="00727620" w:rsidRDefault="00B00C8F" w:rsidP="00727620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>Ес</w:t>
      </w:r>
      <w:r w:rsidR="00346AA7" w:rsidRPr="00727620">
        <w:rPr>
          <w:rFonts w:ascii="Times New Roman" w:hAnsi="Times New Roman" w:cs="Times New Roman"/>
          <w:bCs/>
          <w:sz w:val="24"/>
          <w:szCs w:val="24"/>
        </w:rPr>
        <w:t>ли клиент воспользовался какой-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либо акцией, то чтобы покрутить </w:t>
      </w:r>
      <w:r w:rsidR="00346AA7" w:rsidRPr="00727620">
        <w:rPr>
          <w:rFonts w:ascii="Times New Roman" w:hAnsi="Times New Roman" w:cs="Times New Roman"/>
          <w:bCs/>
          <w:sz w:val="24"/>
          <w:szCs w:val="24"/>
        </w:rPr>
        <w:t>«К</w:t>
      </w:r>
      <w:r w:rsidRPr="00727620">
        <w:rPr>
          <w:rFonts w:ascii="Times New Roman" w:hAnsi="Times New Roman" w:cs="Times New Roman"/>
          <w:bCs/>
          <w:sz w:val="24"/>
          <w:szCs w:val="24"/>
        </w:rPr>
        <w:t>олесо</w:t>
      </w:r>
      <w:r w:rsidR="00346AA7" w:rsidRPr="00727620">
        <w:rPr>
          <w:rFonts w:ascii="Times New Roman" w:hAnsi="Times New Roman" w:cs="Times New Roman"/>
          <w:bCs/>
          <w:sz w:val="24"/>
          <w:szCs w:val="24"/>
        </w:rPr>
        <w:t xml:space="preserve"> здоровья»</w:t>
      </w:r>
      <w:r w:rsidRPr="00727620">
        <w:rPr>
          <w:rFonts w:ascii="Times New Roman" w:hAnsi="Times New Roman" w:cs="Times New Roman"/>
          <w:bCs/>
          <w:sz w:val="24"/>
          <w:szCs w:val="24"/>
        </w:rPr>
        <w:t>, необходимо набрать сумму</w:t>
      </w:r>
      <w:r w:rsidR="00346AA7" w:rsidRPr="00727620">
        <w:rPr>
          <w:rFonts w:ascii="Times New Roman" w:hAnsi="Times New Roman" w:cs="Times New Roman"/>
          <w:bCs/>
          <w:sz w:val="24"/>
          <w:szCs w:val="24"/>
        </w:rPr>
        <w:t xml:space="preserve"> чека </w:t>
      </w:r>
      <w:r w:rsidR="00727620">
        <w:rPr>
          <w:rFonts w:ascii="Times New Roman" w:hAnsi="Times New Roman" w:cs="Times New Roman"/>
          <w:bCs/>
          <w:sz w:val="24"/>
          <w:szCs w:val="24"/>
        </w:rPr>
        <w:t xml:space="preserve">в размере </w:t>
      </w:r>
      <w:r w:rsidRPr="00727620">
        <w:rPr>
          <w:rFonts w:ascii="Times New Roman" w:hAnsi="Times New Roman" w:cs="Times New Roman"/>
          <w:bCs/>
          <w:sz w:val="24"/>
          <w:szCs w:val="24"/>
        </w:rPr>
        <w:t>3000</w:t>
      </w:r>
      <w:r w:rsidR="00727620">
        <w:rPr>
          <w:rFonts w:ascii="Times New Roman" w:hAnsi="Times New Roman" w:cs="Times New Roman"/>
          <w:bCs/>
          <w:sz w:val="24"/>
          <w:szCs w:val="24"/>
        </w:rPr>
        <w:t xml:space="preserve"> (трех тысяч)</w:t>
      </w:r>
      <w:r w:rsidRPr="00727620">
        <w:rPr>
          <w:rFonts w:ascii="Times New Roman" w:hAnsi="Times New Roman" w:cs="Times New Roman"/>
          <w:bCs/>
          <w:sz w:val="24"/>
          <w:szCs w:val="24"/>
        </w:rPr>
        <w:t xml:space="preserve"> рублей</w:t>
      </w:r>
      <w:r w:rsidR="00346AA7" w:rsidRPr="00727620">
        <w:rPr>
          <w:rFonts w:ascii="Times New Roman" w:hAnsi="Times New Roman" w:cs="Times New Roman"/>
          <w:bCs/>
          <w:sz w:val="24"/>
          <w:szCs w:val="24"/>
        </w:rPr>
        <w:t>, без учета скидок и акций</w:t>
      </w:r>
      <w:r w:rsidRPr="00727620">
        <w:rPr>
          <w:rFonts w:ascii="Times New Roman" w:hAnsi="Times New Roman" w:cs="Times New Roman"/>
          <w:bCs/>
          <w:sz w:val="24"/>
          <w:szCs w:val="24"/>
        </w:rPr>
        <w:t>.</w:t>
      </w:r>
    </w:p>
    <w:p w:rsidR="00346AA7" w:rsidRDefault="00346AA7" w:rsidP="00727620">
      <w:pPr>
        <w:pStyle w:val="a5"/>
        <w:numPr>
          <w:ilvl w:val="0"/>
          <w:numId w:val="6"/>
        </w:num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  <w:r w:rsidRPr="00727620">
        <w:rPr>
          <w:rFonts w:ascii="Times New Roman" w:hAnsi="Times New Roman" w:cs="Times New Roman"/>
          <w:bCs/>
          <w:sz w:val="24"/>
          <w:szCs w:val="24"/>
        </w:rPr>
        <w:t>«</w:t>
      </w:r>
      <w:r w:rsidR="00B00C8F" w:rsidRPr="00727620">
        <w:rPr>
          <w:rFonts w:ascii="Times New Roman" w:hAnsi="Times New Roman" w:cs="Times New Roman"/>
          <w:bCs/>
          <w:sz w:val="24"/>
          <w:szCs w:val="24"/>
        </w:rPr>
        <w:t>Колесо здоровья</w:t>
      </w:r>
      <w:r w:rsidRPr="00727620">
        <w:rPr>
          <w:rFonts w:ascii="Times New Roman" w:hAnsi="Times New Roman" w:cs="Times New Roman"/>
          <w:bCs/>
          <w:sz w:val="24"/>
          <w:szCs w:val="24"/>
        </w:rPr>
        <w:t>»</w:t>
      </w:r>
      <w:r w:rsidR="00B00C8F" w:rsidRPr="00727620">
        <w:rPr>
          <w:rFonts w:ascii="Times New Roman" w:hAnsi="Times New Roman" w:cs="Times New Roman"/>
          <w:bCs/>
          <w:sz w:val="24"/>
          <w:szCs w:val="24"/>
        </w:rPr>
        <w:t xml:space="preserve"> не суммируется с акциями, </w:t>
      </w:r>
      <w:proofErr w:type="spellStart"/>
      <w:r w:rsidR="00B00C8F" w:rsidRPr="00727620">
        <w:rPr>
          <w:rFonts w:ascii="Times New Roman" w:hAnsi="Times New Roman" w:cs="Times New Roman"/>
          <w:bCs/>
          <w:sz w:val="24"/>
          <w:szCs w:val="24"/>
        </w:rPr>
        <w:t>флаерами</w:t>
      </w:r>
      <w:proofErr w:type="spellEnd"/>
      <w:r w:rsidR="00B00C8F" w:rsidRPr="007276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00C8F" w:rsidRPr="00727620">
        <w:rPr>
          <w:rFonts w:ascii="Times New Roman" w:hAnsi="Times New Roman" w:cs="Times New Roman"/>
          <w:bCs/>
          <w:sz w:val="24"/>
          <w:szCs w:val="24"/>
        </w:rPr>
        <w:t>промокодами</w:t>
      </w:r>
      <w:proofErr w:type="spellEnd"/>
      <w:r w:rsidR="00B00C8F" w:rsidRPr="00727620">
        <w:rPr>
          <w:rFonts w:ascii="Times New Roman" w:hAnsi="Times New Roman" w:cs="Times New Roman"/>
          <w:bCs/>
          <w:sz w:val="24"/>
          <w:szCs w:val="24"/>
        </w:rPr>
        <w:t>, специальными предложениями и программой лояльности.</w:t>
      </w:r>
    </w:p>
    <w:p w:rsidR="00727620" w:rsidRPr="00727620" w:rsidRDefault="00727620" w:rsidP="00727620">
      <w:pPr>
        <w:pStyle w:val="a5"/>
        <w:numPr>
          <w:ilvl w:val="0"/>
          <w:numId w:val="6"/>
        </w:num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Предусмотрено только начисление баллов</w:t>
      </w:r>
      <w:r w:rsidR="00EF14B7">
        <w:rPr>
          <w:rFonts w:ascii="Times New Roman" w:hAnsi="Times New Roman" w:cs="Times New Roman"/>
          <w:bCs/>
          <w:sz w:val="24"/>
          <w:szCs w:val="24"/>
        </w:rPr>
        <w:t xml:space="preserve"> за прием врача или </w:t>
      </w:r>
      <w:proofErr w:type="spellStart"/>
      <w:r w:rsidR="00EF14B7">
        <w:rPr>
          <w:rFonts w:ascii="Times New Roman" w:hAnsi="Times New Roman" w:cs="Times New Roman"/>
          <w:bCs/>
          <w:sz w:val="24"/>
          <w:szCs w:val="24"/>
        </w:rPr>
        <w:t>узи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программе лояльности ЮДС.</w:t>
      </w:r>
    </w:p>
    <w:p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="00DC1F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F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C1F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EF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по «31» </w:t>
      </w:r>
      <w:r w:rsidR="00DC1F3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C1F3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Срок действия каждого купона индивидуален и указан на макете самого купона. 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Акция может быть завершена досрочно. 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Дополнительные условия</w:t>
      </w:r>
    </w:p>
    <w:p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AA7" w:rsidRPr="00346AA7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Акции автоматически подразумевает ознакомление и полное согласие Участников </w:t>
      </w:r>
    </w:p>
    <w:p w:rsidR="00346AA7" w:rsidRPr="00346AA7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с настоящими Правилами. </w:t>
      </w:r>
    </w:p>
    <w:p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:rsidR="00346AA7" w:rsidRPr="00346AA7" w:rsidRDefault="00346AA7" w:rsidP="00346A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00C8F" w:rsidRPr="00B00C8F" w:rsidRDefault="00B00C8F" w:rsidP="00346AA7">
      <w:pPr>
        <w:spacing w:after="0" w:line="330" w:lineRule="atLeast"/>
        <w:rPr>
          <w:rFonts w:ascii="Din Next" w:eastAsia="Times New Roman" w:hAnsi="Din Next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="00E41BFA" w:rsidRDefault="00E41BFA"/>
    <w:sectPr w:rsidR="00E4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3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54"/>
    <w:rsid w:val="001039B5"/>
    <w:rsid w:val="00127254"/>
    <w:rsid w:val="0013077E"/>
    <w:rsid w:val="0015390B"/>
    <w:rsid w:val="001635C7"/>
    <w:rsid w:val="00346AA7"/>
    <w:rsid w:val="006935D2"/>
    <w:rsid w:val="00727620"/>
    <w:rsid w:val="007E6245"/>
    <w:rsid w:val="008C6722"/>
    <w:rsid w:val="009811CF"/>
    <w:rsid w:val="00B00C8F"/>
    <w:rsid w:val="00BD0FE4"/>
    <w:rsid w:val="00CA409A"/>
    <w:rsid w:val="00D16C85"/>
    <w:rsid w:val="00D343E2"/>
    <w:rsid w:val="00D52C15"/>
    <w:rsid w:val="00D94B6E"/>
    <w:rsid w:val="00DC1F36"/>
    <w:rsid w:val="00E41BFA"/>
    <w:rsid w:val="00EF14B7"/>
    <w:rsid w:val="00F45615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AAEB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452575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x.expert/" TargetMode="External"/><Relationship Id="rId5" Type="http://schemas.openxmlformats.org/officeDocument/2006/relationships/hyperlink" Target="https://helix.ru/Upload/LicenseDC/Sertifikat_1098-DC_na_Gazovikov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79829</cp:lastModifiedBy>
  <cp:revision>8</cp:revision>
  <dcterms:created xsi:type="dcterms:W3CDTF">2025-04-16T07:24:00Z</dcterms:created>
  <dcterms:modified xsi:type="dcterms:W3CDTF">2025-11-17T04:02:00Z</dcterms:modified>
</cp:coreProperties>
</file>