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многодетных семей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многодетных семе</w:t>
      </w:r>
      <w:r w:rsidR="00D226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D343E2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</w:t>
      </w:r>
      <w:r w:rsidR="0033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Pr="00727620" w:rsidRDefault="006F1822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lastRenderedPageBreak/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6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Скидка </w:t>
      </w:r>
      <w:r w:rsidR="000A2032" w:rsidRPr="000A2032">
        <w:rPr>
          <w:rFonts w:ascii="Din Next" w:hAnsi="Din Next"/>
          <w:color w:val="111827"/>
        </w:rPr>
        <w:t>20</w:t>
      </w:r>
      <w:r w:rsidRPr="000A2032">
        <w:rPr>
          <w:rFonts w:ascii="Din Next" w:hAnsi="Din Next"/>
          <w:color w:val="111827"/>
        </w:rPr>
        <w:t xml:space="preserve">% предоставляется на анализы </w:t>
      </w:r>
      <w:r w:rsidR="000A2032" w:rsidRPr="000A2032">
        <w:rPr>
          <w:rFonts w:ascii="Din Next" w:hAnsi="Din Next"/>
          <w:color w:val="111827"/>
        </w:rPr>
        <w:t>многодетным семьям при предъявлении свидетельства о рождении 3-х и более детей, не достигших 18 лет (при наличии соответствующего документа).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>Предложение не распространяется на </w:t>
      </w:r>
      <w:hyperlink r:id="rId7" w:tgtFrame="_blank" w:history="1">
        <w:r w:rsidRPr="000A2032">
          <w:rPr>
            <w:rStyle w:val="a4"/>
            <w:rFonts w:ascii="Din Next" w:hAnsi="Din Next"/>
            <w:b/>
            <w:bCs/>
            <w:color w:val="111827"/>
          </w:rPr>
          <w:t>ряд анализов</w:t>
        </w:r>
      </w:hyperlink>
      <w:r w:rsidR="006B079E" w:rsidRPr="000A2032">
        <w:rPr>
          <w:rFonts w:ascii="Din Next" w:hAnsi="Din Next"/>
          <w:color w:val="111827"/>
        </w:rPr>
        <w:t>, указанных в перечне исключений в Приложении №1.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>
        <w:rPr>
          <w:rFonts w:ascii="Din Next" w:hAnsi="Din Next"/>
          <w:color w:val="111827"/>
        </w:rPr>
        <w:t xml:space="preserve">программой </w:t>
      </w:r>
      <w:proofErr w:type="spellStart"/>
      <w:r w:rsidR="000A2032">
        <w:rPr>
          <w:rFonts w:ascii="Din Next" w:hAnsi="Din Next"/>
          <w:color w:val="111827"/>
        </w:rPr>
        <w:t>лояльност</w:t>
      </w:r>
      <w:proofErr w:type="spellEnd"/>
      <w:r w:rsidR="000A2032">
        <w:rPr>
          <w:rFonts w:ascii="Din Next" w:hAnsi="Din Next" w:hint="eastAsia"/>
          <w:color w:val="111827"/>
        </w:rPr>
        <w:t>и</w:t>
      </w:r>
      <w:r w:rsidR="000A2032">
        <w:rPr>
          <w:rFonts w:ascii="Din Next" w:hAnsi="Din Next"/>
          <w:color w:val="111827"/>
        </w:rPr>
        <w:t xml:space="preserve">, </w:t>
      </w:r>
      <w:r w:rsidRPr="000A2032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727620" w:rsidRDefault="00432DB7" w:rsidP="00432DB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432DB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должны разрешать принимать сообщения из интернет-домена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8" w:history="1"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550600" w:rsidRPr="0055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432DB7" w:rsidRPr="00727620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E318C4" w:rsidRPr="00432DB7" w:rsidRDefault="00E318C4" w:rsidP="00432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4D9F" w:rsidRPr="003B500A" w:rsidRDefault="000D4D9F" w:rsidP="003B500A">
      <w:pPr>
        <w:rPr>
          <w:b/>
        </w:rPr>
      </w:pPr>
      <w:r w:rsidRPr="003B500A">
        <w:rPr>
          <w:b/>
        </w:rPr>
        <w:lastRenderedPageBreak/>
        <w:t>Приложение</w:t>
      </w:r>
      <w:r w:rsidR="003B500A" w:rsidRPr="003B500A">
        <w:rPr>
          <w:b/>
        </w:rPr>
        <w:t xml:space="preserve"> № 1. Список </w:t>
      </w:r>
      <w:r w:rsidRPr="003B500A">
        <w:rPr>
          <w:b/>
        </w:rPr>
        <w:t xml:space="preserve">исключений из акции. </w:t>
      </w:r>
    </w:p>
    <w:p w:rsidR="000D4D9F" w:rsidRDefault="000D4D9F" w:rsidP="000D4D9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739" w:type="dxa"/>
        <w:tblInd w:w="7" w:type="dxa"/>
        <w:tblCellMar>
          <w:top w:w="72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178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9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Артикул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Номенклатура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</w:t>
            </w:r>
          </w:p>
        </w:tc>
      </w:tr>
      <w:tr w:rsidR="000D4D9F" w:rsidRPr="001C2D9C" w:rsidTr="001447E6">
        <w:trPr>
          <w:trHeight w:val="54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специфических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 90 наиболее часто встречаемым пищевым аллергенам </w:t>
            </w:r>
          </w:p>
        </w:tc>
      </w:tr>
      <w:tr w:rsidR="000D4D9F" w:rsidTr="001447E6">
        <w:trPr>
          <w:trHeight w:val="37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Липопротеин (a)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Маркер формирования костного матрикса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NP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(развернутый)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Проинсулин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количественно, высокочувствительный метод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Коронавирус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COVID-19 (SARS-CoV-2, РНК [реал-тайм ПЦР])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Экспресс-анализ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-19 + справка на 16 языках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Сверхсрочный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ПЦР]), результат за 12 часов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овариальным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текальным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антигенам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инсулину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ядерным антигенам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скрининг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бета-2-гликопротеину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базальной мембране клубочка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Антиперинуклеарный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фактор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фосфатидил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-протромбину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суммарно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Теофиллин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11 -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куриное мясо,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пироглифидный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9" w:type="dxa"/>
          <w:left w:w="766" w:type="dxa"/>
          <w:bottom w:w="43" w:type="dxa"/>
          <w:right w:w="2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245 - яйцо куриное,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231 - кипяченое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индейка,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мука овсяная,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мука ржаная,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291 - капуста цветная,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6F1822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№1 (IgG):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notatum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tenuis,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Candida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albicans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2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ALEX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(300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аллергокомпонентов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+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40-504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Гастропанель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Pyrilinks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(маркер резорбции костной ткани)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Гаптоглобин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Альфа-1-антитрипсин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Миоглобин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Церулоплазмин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сыворотке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цельной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ретинол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В1 (тиамин)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В5 (пантотеновая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В6 (пиридоксин)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С (аскорбиновая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Е (токоферол)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К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филлохинон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Жирорастворимые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Эластаза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сыворотке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NT-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proBNP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(количественно)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Коэнзим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Q10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Малоновый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диальдегид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8-ОН-дезоксигуанозин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Бета-каротин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Водорастворимые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С)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Гистамин в крови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-карнитин (свободный и общий)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органические кислоты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06-193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органические кислоты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Натрий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Магний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Кальций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B2 (рибофлавин)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B3 (ниацин)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омега-3-индекса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омега-6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и омега-6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Анализ жирных кислот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анализ мочи на органические кислоты (46 показателей)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аминокислоты (32 показателя)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аминокислоты (32 показателя)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моче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Расширенный 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бета-каротин,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и тяжелые металлы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Основные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эссенциальные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(жизненно необходимые) и токсичные микроэлементы (13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0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наличие тяжелых металлов и микроэлементов (23 показателя)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комплексный анализ на наличие тяжёлых металлов и микроэлементов (40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фракции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трансферрина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CDT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(диагностика злоупотребления алкоголем)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Асимметричный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диметиларгинин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витамина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(25-гидроксихолекальциферол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1,25дигидроксихолекальциферол)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иммунной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C, E, A, B9, B12, B5, B6, D)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антиоксидантной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A, C, E, K, B2, B5, B6,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участвующие в регуляции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детоксикационной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системы печени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кожи, ногтей, волос (K,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P, витамины A, C, E, B1, B2, B3, B5, B6, B9, B12)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костной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мышечной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6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женской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мужской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5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сердечно-сосудистой системы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поджелудочной железы и углеводного обмена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щитовидной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нервной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выделительной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желудочно-кишечного тракта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7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системы кроветворения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-HCV,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07-106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Neisseria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meningitidis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Corynebacterium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diphtheriae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anti-HBe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антиген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Фрагменты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цитокератина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19 CYFRA 21-1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в моче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Метаболиты катехоламинов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5-гидроксииндолуксусная кислота)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и серотонин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Инсулиноподобный фактор роста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Ингибин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Tumor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Marker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(TM 2)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пируваткиназа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MCA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муциноподобный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рако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-ассоциированный антиген)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Ренин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Лептин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II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Андростендиол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глюкуронид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дофамин), серотонин в крови и их </w:t>
            </w:r>
          </w:p>
          <w:p w:rsidR="000D4D9F" w:rsidRPr="001C2D9C" w:rsidRDefault="000D4D9F" w:rsidP="001447E6">
            <w:pPr>
              <w:tabs>
                <w:tab w:val="center" w:pos="519"/>
                <w:tab w:val="center" w:pos="2210"/>
                <w:tab w:val="center" w:pos="3749"/>
                <w:tab w:val="center" w:pos="5148"/>
                <w:tab w:val="center" w:pos="6545"/>
                <w:tab w:val="center" w:pos="7284"/>
              </w:tabs>
              <w:spacing w:after="23"/>
            </w:pPr>
            <w:r w:rsidRPr="001C2D9C">
              <w:tab/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5-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гидроксииндолуксусная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кислота)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Триптаза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HBV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генотипирование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HDV, РНК [ПЦР]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09-063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HGV, РНК [ПЦР]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Mycoplasma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pneumoniae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энтероинвазивные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штаммы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Treponema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pallidum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Острые кишечные инфекции, скрининг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E.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(EIEC),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Salmonella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Campylobacter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Adenovirus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Norovirus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генотип,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Astrovirus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биоптатов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органов и тканей (за исключением печени, почек,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предстательно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нефробиоптата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(биоптата почки) с использованием методов световой,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иммунофлюоресцентной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электронной микроскопии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клинического материала, полученного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толстоигольной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биопсии щитовидной железы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диагностика рецепторного статуса рака молочной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клинического материала (с использованием 1 антитела)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Иммуноцитохимическое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соскобов шейки матки с определением белка р16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(смешанный мазок)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56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12-050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7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Аллоиммунные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антиэритроцитарные антитела (в том числе антирезусные), титр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спермальным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антигенам (в сперме)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островковым клеткам поджелудочной железы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митохондриям (AMA)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микросомальной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фракции печени и почек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Антикератиновые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(АКА)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цитруллинированному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виментину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MCV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С1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q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фактору комплемента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клеткам сосудистого эндотелия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HUVEC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париетальным (обкладочным) клеткам желудка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гладким мышцам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эндомизию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Антиретикулиновые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(APA)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десмосомам кожи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эпидермальной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базальной мембране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миокарду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скелетным мышцам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полиневритов (антитела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ганглиозидам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GM1, GM2, GM3, GM4, GD1a, GD1b, GD2, GD3, GT1a, GT1b, GQ1b,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сульфатиду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клеткам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клеткам яичка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Антинуклеарный фактор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-2-клетках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экстрагируемому ядерному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кардиолипину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Выявление гена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гистосовместимости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27.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предрасположенности к развитию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спондилоартропатий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анкилозирующего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спондилита - болезнь Бехтерева)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Ангиотензинпревращающий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фермент сыворотки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(с определением типа свечения)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миелопероксидазе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(анти-МРО)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протеиназе-3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-3)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Диагностика рассеянного склероза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изоэлектрофокусирование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олигоклонального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ликворе и сыворотке)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болезней соединительной ткани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системной красной волчанки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антифосфолипидного синдрома (АФС)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диагностика антифосфолипидного синдрома (АФС)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Антинуклеарные антитела (анти-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RNP/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SS-A, SS-B, Scl-70,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PCNA,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dsDNA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CENT-B, Jo-1, к гистонам,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Ribo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P, AMA-M2),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раннего ревматоидного артрита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5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гранулематозных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васкулитов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поражения почек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аутоиммунного поражения печени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 w:line="279" w:lineRule="auto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аутоиммунных заболеваний печени (антитела к микросомам печени-почек 1 типа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пируват-декарбоксилазному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митохондрий </w:t>
            </w:r>
          </w:p>
          <w:p w:rsidR="000D4D9F" w:rsidRPr="001C2D9C" w:rsidRDefault="000D4D9F" w:rsidP="001447E6">
            <w:pPr>
              <w:spacing w:after="0"/>
              <w:ind w:right="49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PDC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/М2),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цитозольному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-1) и растворимому антигену печени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серология аутоиммунных заболеваний печени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Уточнение диагноза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Дифференциальная диагностика болезни Крона и язвенного колита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пузырных дерматозов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миокардиопатий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паранеопластических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энцефалитов (антитела к антигенам белого и серого вещества мозга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 и мембранному антигену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полимиозита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(антитела к антигенам М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антисинтетазные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Jo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-12))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Полное серологическое обследование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8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Совместное 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антикератиновых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антиперинуклеарного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антител к антигенам цитоплазмы нейтрофилов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ombi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7)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тромбоцитам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внутреннему фактору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Кастла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глутаматдекарбоксилазе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Развернутая диагностика склеродермии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антинуклеарных антител: антиScl-70, CENT-A, CENT-B, RP11, RP155,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Fibrillarin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NOR90,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Th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100/75,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PDGFR, Ro-52)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миастении (антитела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ацетилхолиновому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АхР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неоптерина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сыворотке крови (диагностика туберкулеза и вирусных инфекций)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56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панкреатита (определение концентрации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асиалогликопротеиновому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ASGPR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миеломной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болезни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парапротеинемий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сыворотки крови с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пентавалентной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сывороткой)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Белок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Бенс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-Джонса в моче, количественно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мочи)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дсДНК-нуклеосомному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подтверждение, тест 2-го поколения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рецептору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фосфолипазы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А2 - диагностика мембранозной нефропатии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(АНЦА)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бокаловидным клеткам кишечника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десмоглеину-1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десмоглеину-3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BP180 </w:t>
            </w:r>
          </w:p>
        </w:tc>
      </w:tr>
    </w:tbl>
    <w:tbl>
      <w:tblPr>
        <w:tblpPr w:vertAnchor="page" w:horzAnchor="page" w:tblpX="1085" w:tblpY="1512"/>
        <w:tblOverlap w:val="never"/>
        <w:tblW w:w="9739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13-114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BP230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аквапорину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4 (NMO)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клеток поджелудочной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тирозинфосфатазе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(IA-2)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Карбамазепин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Фенобарбитал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Дифенин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Топирамат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Ламотриджин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Дигоксин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Леветирацетам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Лизодрен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Рисперидон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Оланзапин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Пароксетин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Арипипразол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Зипрасидон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Эсциталопрам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Кветиапин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Сертралин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Миртазапин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Флекаинид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Клоназепам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Галоперидол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Флуоксетин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15-027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Дулоксетин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Окскарбазепин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Палиперидон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Скрининговое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на предмет наличия наркотических, психотропных, сильнодействующих веществ и их метаболитов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волосах или ногтях (предварительный и подтверждающий тесты)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крови или моче (предварительный и подтверждающий тесты)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уровня этилового алкоголя, количественно (кровь, моча)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наличия суррогатов алкоголя, летучих токсических веществ и компонентов технической жидкости, качественно (кровь, моча)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никотина и его метаболитов (никотин,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котинин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в моче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эпителий кролика, перхоть лошади,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трав №3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колосок душистый, рожь многолетняя, рожь культивированная, тимофеевка,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  <w:r w:rsidRPr="001C2D9C">
        <w:br w:type="page"/>
      </w:r>
    </w:p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21-017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c204 - амоксициллин,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c203 - ампициллин,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грецкий орех (пыльца),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i71 - комар,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f37 - мидии,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рожь культивированная,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70 - рыжий муравей,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338 - гребешок (моллюск),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1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голубиный помет,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201 - перо канарейки,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эпителий козы,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перхоть коровы,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e87 - крыса,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74 - моча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эпителий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219 - протеины сыворотки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перхоть лошади,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e88 - мышь,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81 - эпителий овцы,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91 - перо попугая,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эпителий свиньи,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t19 - акация,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t5 - бук,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t8 - вяз,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77 - дуб смешанный,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t11 - платан,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t18 - эвкалипт,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256 - орех грецкий,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кукурузные рыльца,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овес культивированный,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w20 - крапива,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лебеда седоватая,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марь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полынь горькая,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постенница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лекарственная,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6F1822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m208 -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Chaetomium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globosum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6F1822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p4 -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Anisakis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Larvae,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i8 - моль,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i204 - слепень,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i2 - шершень,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i3 - осиный яд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Vespula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6F1822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i4 -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осиный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яд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(Polistes spp.),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пчелиный яд,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инсулин человеческий,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o1 - хлопок,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k74 - шелк,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301 - пыль пшеничной муки,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k80 - формальдегид,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k81 - фикус,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f13 - арахис,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21-299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f221 - кофе,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f23 - крабы,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f24 - креветки,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37 - мидия (голубая),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соевые бобы,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f17 - фундук,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f105 - шоколад,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f232 - овальбумин,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76 - альфа-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лактоальбумин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77 - бета-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лактоглобулин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f338 - гребешок,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79 - клейковина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8 - мука кукурузная,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f94 - груша,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f87 - дыня,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f84 - киви,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7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12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эпителий морской свинки, эпителий кролика, хомяк, крыса, мышь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перо волнистого попугая, перо попугая, перо канарейки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"профессиональных"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перхоть лошади, перхоть коровы, перо гуся, перо курицы </w:t>
            </w:r>
          </w:p>
        </w:tc>
      </w:tr>
      <w:tr w:rsidR="000D4D9F" w:rsidRPr="006F1822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tabs>
                <w:tab w:val="center" w:pos="317"/>
                <w:tab w:val="center" w:pos="1271"/>
                <w:tab w:val="center" w:pos="2388"/>
                <w:tab w:val="center" w:pos="3172"/>
                <w:tab w:val="center" w:pos="3532"/>
                <w:tab w:val="center" w:pos="4037"/>
                <w:tab w:val="center" w:pos="5244"/>
                <w:tab w:val="center" w:pos="6791"/>
              </w:tabs>
              <w:spacing w:after="0"/>
            </w:pPr>
            <w: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Панель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клещевых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№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1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farinae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microceras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Lepidoglyphus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destructor,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Tyrophagus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putrescentiae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Glycyphagus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domesticus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Euroglyphus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maynei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Blomia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tropicalis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береза, вяз, дуб, грецкий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тополь, вяз, дуб, пекан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льха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лещина обыкновенная, вяз, ива белая, тополь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сорных трав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): амброзия обыкновенная, полынь обыкновенная, подорожник, марь белая, зольник/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олянка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поташник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661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3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ежа сборная, тимофеевка, конский каштан, амброзия обыкновенная, полынь обыкновенная </w:t>
            </w:r>
          </w:p>
        </w:tc>
      </w:tr>
      <w:tr w:rsidR="000D4D9F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21-557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эпителий кошки,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Aspergillus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fumigatus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5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8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береза, перхоть собаки, полынь обыкновенная, тимофеевка, рожь культивированная, плесневый гриб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овсяница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подорожник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коровье молоко, треска, пшеничная мука, арахис, соевые бобы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апельсин, банан, яблоко, персик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молоко, арахис,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4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свинина, куриное мясо, говядина, баранина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артикаин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ультракаин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82 -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лидокаин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ксилокаин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/новокаин,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c86 -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бензокаин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цитанест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анекаин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маркаин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/дикаин,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k40 - никель,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k41 - хром,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k43 - золото,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k44 - медь,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k45 - платина,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k46 - кобальт,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k48 - палладий,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b1 - акрил,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и перхоть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e5 - перхоть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f245 – яйцо,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f83 - мясо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e85 - перо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молоко коровье,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h1 -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Greer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h2 -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Hollister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f7 - овес, овсяная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f11 - гречиха,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f79 -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(клейковина),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f5 - рожь, ржаная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– цветная капуста,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мясо индейки,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t14 - тополь,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береза бородавчатая,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w8 - одуванчик,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w6 - полынь,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t2 - ольха серая,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g6 - тимофеевка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бытовых аллергенов hx2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: домашняя пыль,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таракан рыжий </w:t>
            </w:r>
          </w:p>
        </w:tc>
      </w:tr>
      <w:tr w:rsidR="000D4D9F" w:rsidRPr="006F1822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mx1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chrysogenum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злаковых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ежа сборная, овсяница луговая, плевел, тимофеевка луговая, мятлик луговой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животных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перхоть кошки, перхоть собаки, эпителий морской свинки, крыса, мышь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полынь, нивяник, одуванчик, золотарник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молоко, треска, пшеница, арахис, соя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полынь, подорожник ланцетовидный, марь, золотарник, крапива двудомная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209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амброзия голометельчатая, амброзия трехнадрезная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коровье молоко, арахис, горчица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f4 - пшеница,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детский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f14 – соя,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3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d1 -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t215 -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f232 - овальбумин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k208 - лизоцим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d4,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f323 -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кональбумин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d3,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f419 -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f420 -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p3 LTP,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f421 -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p4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Профилин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6F1822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m6 -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21-705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0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Аллергокомпонент t221 -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4 (рекомбинантный),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расширенный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Серологическая диагностика туберкулеза методом Т-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SPOT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АктиТест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ФиброМакс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right="52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Комплексная оценка риска рака предстательной железы (индекс здоровья простаты, 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phi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4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Генетическая 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муковисцидоза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Анализ гена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CFTR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(25 мутаций)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Генетический тест Атлас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PrenaTest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определение наличия у плода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Трисомии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по 21 хромосоме (синдром Дауна)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Prenetix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наличие у плода анеуплоидий 13, 18, 21,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хромосом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Генетическое исследование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мик</w:t>
            </w:r>
            <w:proofErr w:type="spellEnd"/>
            <w:r w:rsidR="00F7567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робиоты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1822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6F1822" w:rsidRPr="00821D82" w:rsidRDefault="006F1822" w:rsidP="001447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sz w:val="20"/>
              </w:rPr>
              <w:t>90-1556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1822" w:rsidRPr="006F1822" w:rsidRDefault="006F1822" w:rsidP="006F1822">
            <w:pPr>
              <w:pStyle w:val="1"/>
              <w:spacing w:before="0" w:beforeAutospacing="0" w:after="0" w:afterAutospacing="0" w:line="780" w:lineRule="atLeast"/>
              <w:rPr>
                <w:b w:val="0"/>
                <w:bCs w:val="0"/>
                <w:color w:val="1C1C1E"/>
                <w:sz w:val="20"/>
                <w:szCs w:val="20"/>
              </w:rPr>
            </w:pPr>
            <w:r w:rsidRPr="006F1822">
              <w:rPr>
                <w:b w:val="0"/>
                <w:bCs w:val="0"/>
                <w:color w:val="1C1C1E"/>
                <w:sz w:val="20"/>
                <w:szCs w:val="20"/>
              </w:rPr>
              <w:t xml:space="preserve">Услуга по подготовке к сбору биоматериала для 13С-УДТ </w:t>
            </w:r>
            <w:proofErr w:type="spellStart"/>
            <w:r w:rsidRPr="006F1822">
              <w:rPr>
                <w:b w:val="0"/>
                <w:bCs w:val="0"/>
                <w:color w:val="1C1C1E"/>
                <w:sz w:val="20"/>
                <w:szCs w:val="20"/>
              </w:rPr>
              <w:t>Helicobacter</w:t>
            </w:r>
            <w:proofErr w:type="spellEnd"/>
            <w:r w:rsidRPr="006F1822">
              <w:rPr>
                <w:b w:val="0"/>
                <w:bCs w:val="0"/>
                <w:color w:val="1C1C1E"/>
                <w:sz w:val="20"/>
                <w:szCs w:val="20"/>
              </w:rPr>
              <w:t xml:space="preserve"> </w:t>
            </w:r>
            <w:proofErr w:type="spellStart"/>
            <w:r w:rsidRPr="006F1822">
              <w:rPr>
                <w:b w:val="0"/>
                <w:bCs w:val="0"/>
                <w:color w:val="1C1C1E"/>
                <w:sz w:val="20"/>
                <w:szCs w:val="20"/>
              </w:rPr>
              <w:t>pylori</w:t>
            </w:r>
            <w:proofErr w:type="spellEnd"/>
            <w:r w:rsidRPr="006F1822">
              <w:rPr>
                <w:b w:val="0"/>
                <w:bCs w:val="0"/>
                <w:color w:val="1C1C1E"/>
                <w:sz w:val="20"/>
                <w:szCs w:val="20"/>
              </w:rPr>
              <w:t xml:space="preserve"> </w:t>
            </w:r>
          </w:p>
          <w:p w:rsidR="006F1822" w:rsidRPr="00821D82" w:rsidRDefault="006F1822" w:rsidP="001447E6">
            <w:pPr>
              <w:spacing w:after="0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1822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6F1822" w:rsidRDefault="006F1822" w:rsidP="001447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90-1399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1822" w:rsidRPr="00821D82" w:rsidRDefault="006F1822" w:rsidP="001447E6">
            <w:pPr>
              <w:spacing w:after="0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Услуга по подготовке к сбору слюны для определения гормонов </w:t>
            </w:r>
          </w:p>
        </w:tc>
      </w:tr>
      <w:tr w:rsidR="006F1822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6F1822" w:rsidRDefault="006F1822" w:rsidP="001447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90-1844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F1822" w:rsidRPr="00821D82" w:rsidRDefault="006F1822" w:rsidP="001447E6">
            <w:pPr>
              <w:spacing w:after="0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Услуга по подготовке к сбору слюны (4 транспортных контейнера) </w:t>
            </w:r>
          </w:p>
        </w:tc>
      </w:tr>
      <w:bookmarkEnd w:id="0"/>
    </w:tbl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4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255B86"/>
    <w:rsid w:val="0033337C"/>
    <w:rsid w:val="00346AA7"/>
    <w:rsid w:val="003B500A"/>
    <w:rsid w:val="00432DB7"/>
    <w:rsid w:val="00435096"/>
    <w:rsid w:val="005319CD"/>
    <w:rsid w:val="00550600"/>
    <w:rsid w:val="006935D2"/>
    <w:rsid w:val="006B079E"/>
    <w:rsid w:val="006F1822"/>
    <w:rsid w:val="00727620"/>
    <w:rsid w:val="007E6245"/>
    <w:rsid w:val="009811CF"/>
    <w:rsid w:val="00B00C8F"/>
    <w:rsid w:val="00BD0FE4"/>
    <w:rsid w:val="00CA409A"/>
    <w:rsid w:val="00D22679"/>
    <w:rsid w:val="00D343E2"/>
    <w:rsid w:val="00D94B6E"/>
    <w:rsid w:val="00DD130D"/>
    <w:rsid w:val="00E226EE"/>
    <w:rsid w:val="00E318C4"/>
    <w:rsid w:val="00E41BFA"/>
    <w:rsid w:val="00F47419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98AE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x.expert/upload/docs/analizy-iskl-tym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" TargetMode="External"/><Relationship Id="rId5" Type="http://schemas.openxmlformats.org/officeDocument/2006/relationships/hyperlink" Target="https://helix.ru/Upload/LicenseDC/Sertifikat_1098-DC_na_Gazovikov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32</Pages>
  <Words>6968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13</cp:revision>
  <dcterms:created xsi:type="dcterms:W3CDTF">2025-04-16T07:24:00Z</dcterms:created>
  <dcterms:modified xsi:type="dcterms:W3CDTF">2025-08-19T04:13:00Z</dcterms:modified>
</cp:coreProperties>
</file>