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74B4C81B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175F5D">
        <w:rPr>
          <w:b/>
          <w:sz w:val="28"/>
          <w:szCs w:val="28"/>
        </w:rPr>
        <w:t>Качество в крови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733C6E6A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2222C9">
        <w:rPr>
          <w:sz w:val="22"/>
          <w:szCs w:val="22"/>
        </w:rPr>
        <w:t>Качество в крови</w:t>
      </w:r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77777777" w:rsidR="0063017E" w:rsidRDefault="00247DC3">
      <w:pPr>
        <w:jc w:val="center"/>
        <w:rPr>
          <w:b/>
        </w:rPr>
      </w:pPr>
      <w:r>
        <w:rPr>
          <w:b/>
        </w:rPr>
        <w:t>г. Тюмень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61E3A0D0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1.1. Настоящая Политика Общества с ограниченной ответственностью </w:t>
      </w:r>
      <w:r w:rsidR="00C548E4">
        <w:rPr>
          <w:color w:val="000000"/>
          <w:sz w:val="22"/>
          <w:szCs w:val="22"/>
        </w:rPr>
        <w:t>«</w:t>
      </w:r>
      <w:r w:rsidR="002222C9">
        <w:rPr>
          <w:sz w:val="22"/>
          <w:szCs w:val="22"/>
        </w:rPr>
        <w:t>Качество в крови</w:t>
      </w:r>
      <w:r w:rsidR="002222C9">
        <w:rPr>
          <w:color w:val="000000"/>
          <w:sz w:val="22"/>
          <w:szCs w:val="22"/>
        </w:rPr>
        <w:t>»</w:t>
      </w:r>
      <w:r w:rsidR="00C548E4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7D67FEB2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ответственностью </w:t>
      </w:r>
      <w:r w:rsidR="00C548E4">
        <w:rPr>
          <w:color w:val="000000"/>
          <w:sz w:val="22"/>
          <w:szCs w:val="22"/>
        </w:rPr>
        <w:t>«</w:t>
      </w:r>
      <w:r w:rsidR="002222C9">
        <w:rPr>
          <w:sz w:val="22"/>
          <w:szCs w:val="22"/>
        </w:rPr>
        <w:t>Качество в крови</w:t>
      </w:r>
      <w:r w:rsidR="00C548E4">
        <w:rPr>
          <w:color w:val="000000"/>
          <w:sz w:val="22"/>
          <w:szCs w:val="22"/>
        </w:rPr>
        <w:t>»</w:t>
      </w:r>
      <w:r>
        <w:rPr>
          <w:color w:val="000000"/>
        </w:rPr>
        <w:t> (</w:t>
      </w:r>
      <w:proofErr w:type="gramStart"/>
      <w:r>
        <w:rPr>
          <w:color w:val="000000"/>
        </w:rPr>
        <w:t>далее  Оператор</w:t>
      </w:r>
      <w:proofErr w:type="gramEnd"/>
      <w:r>
        <w:rPr>
          <w:color w:val="000000"/>
        </w:rPr>
        <w:t xml:space="preserve">, ООО </w:t>
      </w:r>
      <w:r w:rsidR="00C548E4">
        <w:rPr>
          <w:color w:val="000000"/>
          <w:sz w:val="22"/>
          <w:szCs w:val="22"/>
        </w:rPr>
        <w:t>«</w:t>
      </w:r>
      <w:r w:rsidR="002222C9">
        <w:rPr>
          <w:sz w:val="22"/>
          <w:szCs w:val="22"/>
        </w:rPr>
        <w:t>Качество в крови</w:t>
      </w:r>
      <w:r w:rsidR="00C548E4">
        <w:rPr>
          <w:color w:val="000000"/>
          <w:sz w:val="22"/>
          <w:szCs w:val="22"/>
        </w:rPr>
        <w:t>»</w:t>
      </w:r>
      <w:r>
        <w:rPr>
          <w:color w:val="000000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6AD79E72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2222C9">
        <w:rPr>
          <w:color w:val="000000"/>
          <w:sz w:val="22"/>
          <w:szCs w:val="22"/>
        </w:rPr>
        <w:t>«</w:t>
      </w:r>
      <w:r w:rsidR="002222C9">
        <w:rPr>
          <w:sz w:val="22"/>
          <w:szCs w:val="22"/>
        </w:rPr>
        <w:t>Качество в крови</w:t>
      </w:r>
      <w:r w:rsidR="002222C9">
        <w:rPr>
          <w:color w:val="000000"/>
          <w:sz w:val="22"/>
          <w:szCs w:val="22"/>
        </w:rPr>
        <w:t>»</w:t>
      </w:r>
      <w:r>
        <w:rPr>
          <w:color w:val="000000"/>
        </w:rPr>
        <w:t>;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40D609A6" w:rsidR="0063017E" w:rsidRDefault="00247DC3" w:rsidP="002222C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2222C9">
        <w:rPr>
          <w:color w:val="000000"/>
          <w:sz w:val="22"/>
          <w:szCs w:val="22"/>
        </w:rPr>
        <w:t>«</w:t>
      </w:r>
      <w:r w:rsidR="002222C9">
        <w:rPr>
          <w:sz w:val="22"/>
          <w:szCs w:val="22"/>
        </w:rPr>
        <w:t>Качество в крови</w:t>
      </w:r>
      <w:r w:rsidR="002222C9">
        <w:rPr>
          <w:color w:val="000000"/>
          <w:sz w:val="22"/>
          <w:szCs w:val="22"/>
        </w:rPr>
        <w:t>».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2FD47A60" w:rsidR="0063017E" w:rsidRDefault="00247DC3" w:rsidP="00222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2222C9">
              <w:rPr>
                <w:color w:val="000000"/>
                <w:sz w:val="22"/>
                <w:szCs w:val="22"/>
              </w:rPr>
              <w:t>«</w:t>
            </w:r>
            <w:r w:rsidR="002222C9">
              <w:rPr>
                <w:sz w:val="22"/>
                <w:szCs w:val="22"/>
              </w:rPr>
              <w:t>Качество в крови</w:t>
            </w:r>
            <w:r w:rsidR="002222C9">
              <w:rPr>
                <w:color w:val="000000"/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75F5D"/>
    <w:rsid w:val="002222C9"/>
    <w:rsid w:val="00247DC3"/>
    <w:rsid w:val="002B538E"/>
    <w:rsid w:val="0063017E"/>
    <w:rsid w:val="007F6A03"/>
    <w:rsid w:val="00925307"/>
    <w:rsid w:val="00C507BD"/>
    <w:rsid w:val="00C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6203</Words>
  <Characters>35362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11</cp:revision>
  <dcterms:created xsi:type="dcterms:W3CDTF">2024-04-24T12:58:00Z</dcterms:created>
  <dcterms:modified xsi:type="dcterms:W3CDTF">2024-07-31T07:16:00Z</dcterms:modified>
</cp:coreProperties>
</file>