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B6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46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Бесплатный выезд медицинской сестры </w:t>
      </w:r>
    </w:p>
    <w:p w:rsidR="00D94B6E" w:rsidRPr="00727620" w:rsidRDefault="00460FB6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дом». 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0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выезд медицинской сестры на дом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lastRenderedPageBreak/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8F397A" w:rsidRDefault="00BD0FE4" w:rsidP="008F397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8F397A" w:rsidP="001B27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</w:t>
      </w:r>
      <w:r w:rsidR="0033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8F397A" w:rsidRPr="0015390B" w:rsidRDefault="008F397A" w:rsidP="008F397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Малая </w:t>
      </w:r>
      <w:proofErr w:type="spellStart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28/1</w:t>
      </w:r>
    </w:p>
    <w:p w:rsidR="008F397A" w:rsidRPr="0015390B" w:rsidRDefault="008F397A" w:rsidP="008F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50 лет Октября,4</w:t>
      </w:r>
    </w:p>
    <w:p w:rsidR="008F397A" w:rsidRPr="0015390B" w:rsidRDefault="008F397A" w:rsidP="008F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Республики,86/1</w:t>
      </w:r>
    </w:p>
    <w:p w:rsidR="008F397A" w:rsidRPr="0015390B" w:rsidRDefault="008F397A" w:rsidP="008F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Тимофея Чаркова,83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Default="00D33BB3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Style w:val="a4"/>
          <w:rFonts w:ascii="Times New Roman" w:hAnsi="Times New Roman" w:cs="Times New Roman"/>
          <w:color w:val="00BE6E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t>Л041-01107-72/01241942 от 10.06.24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lastRenderedPageBreak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6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3A38EA" w:rsidRDefault="003A38EA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FE3BAB" w:rsidRDefault="003A38EA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5.</w:t>
      </w:r>
      <w:proofErr w:type="gramStart"/>
      <w:r>
        <w:rPr>
          <w:rFonts w:ascii="Din Next" w:hAnsi="Din Next"/>
          <w:color w:val="111827"/>
        </w:rPr>
        <w:t>1.Пе</w:t>
      </w:r>
      <w:r w:rsidRPr="003A38EA">
        <w:rPr>
          <w:rFonts w:ascii="Din Next" w:hAnsi="Din Next"/>
          <w:color w:val="111827"/>
        </w:rPr>
        <w:t>реч</w:t>
      </w:r>
      <w:r>
        <w:rPr>
          <w:rFonts w:ascii="Din Next" w:hAnsi="Din Next"/>
          <w:color w:val="111827"/>
        </w:rPr>
        <w:t>ень</w:t>
      </w:r>
      <w:proofErr w:type="gramEnd"/>
      <w:r w:rsidRPr="003A38EA">
        <w:rPr>
          <w:rFonts w:ascii="Din Next" w:hAnsi="Din Next"/>
          <w:color w:val="111827"/>
        </w:rPr>
        <w:t xml:space="preserve"> лабораторных исследований, которые</w:t>
      </w:r>
      <w:r w:rsidR="00FE3BAB">
        <w:rPr>
          <w:rFonts w:ascii="Din Next" w:hAnsi="Din Next"/>
          <w:color w:val="111827"/>
        </w:rPr>
        <w:t xml:space="preserve"> не</w:t>
      </w:r>
      <w:r w:rsidRPr="003A38EA">
        <w:rPr>
          <w:rFonts w:ascii="Din Next" w:hAnsi="Din Next"/>
          <w:color w:val="111827"/>
        </w:rPr>
        <w:t xml:space="preserve"> могут быть заказаны при вызове </w:t>
      </w:r>
      <w:r w:rsidR="00FE3BAB">
        <w:rPr>
          <w:rFonts w:ascii="Din Next" w:hAnsi="Din Next"/>
          <w:color w:val="111827"/>
        </w:rPr>
        <w:t xml:space="preserve">мобильной </w:t>
      </w:r>
      <w:r w:rsidRPr="003A38EA">
        <w:rPr>
          <w:rFonts w:ascii="Din Next" w:hAnsi="Din Next"/>
          <w:color w:val="111827"/>
        </w:rPr>
        <w:t xml:space="preserve">службы на дом, размещается в </w:t>
      </w:r>
      <w:r w:rsidR="00D33BB3">
        <w:rPr>
          <w:rFonts w:ascii="Din Next" w:hAnsi="Din Next"/>
          <w:color w:val="111827"/>
        </w:rPr>
        <w:t>Приложении ! данного документы</w:t>
      </w:r>
      <w:bookmarkStart w:id="0" w:name="_GoBack"/>
      <w:bookmarkEnd w:id="0"/>
      <w:r w:rsidRPr="003A38EA">
        <w:rPr>
          <w:rFonts w:ascii="Din Next" w:hAnsi="Din Next"/>
          <w:color w:val="111827"/>
        </w:rPr>
        <w:t xml:space="preserve">, а также предоставляется по телефону горячей линии: 8 (3452) </w:t>
      </w:r>
      <w:r>
        <w:rPr>
          <w:rFonts w:ascii="Din Next" w:hAnsi="Din Next"/>
          <w:color w:val="111827"/>
        </w:rPr>
        <w:t>51-51-44</w:t>
      </w:r>
      <w:r w:rsidRPr="003A38EA">
        <w:rPr>
          <w:rFonts w:ascii="Din Next" w:hAnsi="Din Next"/>
          <w:color w:val="111827"/>
        </w:rPr>
        <w:t xml:space="preserve">.      </w:t>
      </w:r>
      <w:r>
        <w:rPr>
          <w:rFonts w:ascii="Din Next" w:hAnsi="Din Next"/>
          <w:color w:val="111827"/>
        </w:rPr>
        <w:br/>
        <w:t>5.</w:t>
      </w:r>
      <w:proofErr w:type="gramStart"/>
      <w:r>
        <w:rPr>
          <w:rFonts w:ascii="Din Next" w:hAnsi="Din Next"/>
          <w:color w:val="111827"/>
        </w:rPr>
        <w:t>2.</w:t>
      </w:r>
      <w:r w:rsidRPr="003A38EA">
        <w:rPr>
          <w:rFonts w:ascii="Din Next" w:hAnsi="Din Next"/>
          <w:color w:val="111827"/>
        </w:rPr>
        <w:t>При</w:t>
      </w:r>
      <w:proofErr w:type="gramEnd"/>
      <w:r w:rsidRPr="003A38EA">
        <w:rPr>
          <w:rFonts w:ascii="Din Next" w:hAnsi="Din Next"/>
          <w:color w:val="111827"/>
        </w:rPr>
        <w:t xml:space="preserve"> участии в Акции стоимость услуги «Выезд на дом», указанной выше в настоящих Правилах, составляет 0</w:t>
      </w:r>
      <w:r>
        <w:rPr>
          <w:rFonts w:ascii="Din Next" w:hAnsi="Din Next"/>
          <w:color w:val="111827"/>
        </w:rPr>
        <w:t xml:space="preserve"> </w:t>
      </w:r>
      <w:r w:rsidRPr="003A38EA">
        <w:rPr>
          <w:rFonts w:ascii="Din Next" w:hAnsi="Din Next"/>
          <w:color w:val="111827"/>
        </w:rPr>
        <w:t>(</w:t>
      </w:r>
      <w:r>
        <w:rPr>
          <w:rFonts w:ascii="Din Next" w:hAnsi="Din Next"/>
          <w:color w:val="111827"/>
        </w:rPr>
        <w:t>ноль) рублей</w:t>
      </w:r>
      <w:r w:rsidRPr="003A38EA">
        <w:rPr>
          <w:rFonts w:ascii="Din Next" w:hAnsi="Din Next"/>
          <w:color w:val="111827"/>
        </w:rPr>
        <w:t xml:space="preserve">. </w:t>
      </w:r>
      <w:r>
        <w:rPr>
          <w:rFonts w:ascii="Din Next" w:hAnsi="Din Next"/>
          <w:color w:val="111827"/>
        </w:rPr>
        <w:br/>
        <w:t>5.</w:t>
      </w:r>
      <w:proofErr w:type="gramStart"/>
      <w:r>
        <w:rPr>
          <w:rFonts w:ascii="Din Next" w:hAnsi="Din Next"/>
          <w:color w:val="111827"/>
        </w:rPr>
        <w:t>3.</w:t>
      </w:r>
      <w:r w:rsidRPr="003A38EA">
        <w:rPr>
          <w:rFonts w:ascii="Din Next" w:hAnsi="Din Next"/>
          <w:color w:val="111827"/>
        </w:rPr>
        <w:t>Стоимость</w:t>
      </w:r>
      <w:proofErr w:type="gramEnd"/>
      <w:r w:rsidRPr="003A38EA">
        <w:rPr>
          <w:rFonts w:ascii="Din Next" w:hAnsi="Din Next"/>
          <w:color w:val="111827"/>
        </w:rPr>
        <w:t xml:space="preserve"> услуги «Выезд на дом» без учета скидки по Акции указана на сайте </w:t>
      </w:r>
      <w:r>
        <w:rPr>
          <w:rFonts w:ascii="Din Next" w:hAnsi="Din Next"/>
          <w:color w:val="111827"/>
          <w:lang w:val="en-US"/>
        </w:rPr>
        <w:t>helix</w:t>
      </w:r>
      <w:r w:rsidRPr="003A38EA">
        <w:rPr>
          <w:rFonts w:ascii="Din Next" w:hAnsi="Din Next"/>
          <w:color w:val="111827"/>
        </w:rPr>
        <w:t>.</w:t>
      </w:r>
      <w:r>
        <w:rPr>
          <w:rFonts w:ascii="Din Next" w:hAnsi="Din Next"/>
          <w:color w:val="111827"/>
          <w:lang w:val="en-US"/>
        </w:rPr>
        <w:t>expert</w:t>
      </w:r>
      <w:r>
        <w:rPr>
          <w:rFonts w:ascii="Din Next" w:hAnsi="Din Next"/>
          <w:color w:val="111827"/>
        </w:rPr>
        <w:t xml:space="preserve"> в разделе «Прайс»</w:t>
      </w:r>
      <w:r w:rsidRPr="003A38EA">
        <w:rPr>
          <w:rFonts w:ascii="Din Next" w:hAnsi="Din Next"/>
          <w:color w:val="111827"/>
        </w:rPr>
        <w:t xml:space="preserve">. Стоимость выполнения лабораторных исследований, взятия биологического материала для выполнения лабораторных исследований оплачивается отдельно по стоимости, </w:t>
      </w:r>
      <w:r w:rsidRPr="003A38EA">
        <w:rPr>
          <w:rFonts w:ascii="Din Next" w:hAnsi="Din Next"/>
          <w:color w:val="111827"/>
        </w:rPr>
        <w:lastRenderedPageBreak/>
        <w:t xml:space="preserve">указанной на сайте </w:t>
      </w:r>
      <w:proofErr w:type="gramStart"/>
      <w:r w:rsidR="00FE3BAB">
        <w:rPr>
          <w:rFonts w:ascii="Din Next" w:hAnsi="Din Next"/>
          <w:color w:val="111827"/>
          <w:lang w:val="en-US"/>
        </w:rPr>
        <w:t>helix</w:t>
      </w:r>
      <w:r w:rsidR="00FE3BAB" w:rsidRPr="003A38EA">
        <w:rPr>
          <w:rFonts w:ascii="Din Next" w:hAnsi="Din Next"/>
          <w:color w:val="111827"/>
        </w:rPr>
        <w:t>.</w:t>
      </w:r>
      <w:r w:rsidR="00FE3BAB">
        <w:rPr>
          <w:rFonts w:ascii="Din Next" w:hAnsi="Din Next"/>
          <w:color w:val="111827"/>
          <w:lang w:val="en-US"/>
        </w:rPr>
        <w:t>expert</w:t>
      </w:r>
      <w:proofErr w:type="gramEnd"/>
      <w:r w:rsidR="00FE3BAB">
        <w:rPr>
          <w:rFonts w:ascii="Din Next" w:hAnsi="Din Next"/>
          <w:color w:val="111827"/>
        </w:rPr>
        <w:t xml:space="preserve"> в разделе «Прайс»</w:t>
      </w:r>
      <w:r w:rsidRPr="003A38EA">
        <w:rPr>
          <w:rFonts w:ascii="Din Next" w:hAnsi="Din Next"/>
          <w:color w:val="111827"/>
        </w:rPr>
        <w:t xml:space="preserve"> и в утвержденных прайс-листах медицинских </w:t>
      </w:r>
      <w:r w:rsidR="00FE3BAB">
        <w:rPr>
          <w:rFonts w:ascii="Din Next" w:hAnsi="Din Next"/>
          <w:color w:val="111827"/>
        </w:rPr>
        <w:t>центров</w:t>
      </w:r>
      <w:r w:rsidRPr="003A38EA">
        <w:rPr>
          <w:rFonts w:ascii="Din Next" w:hAnsi="Din Next"/>
          <w:color w:val="111827"/>
        </w:rPr>
        <w:t xml:space="preserve">.     </w:t>
      </w:r>
    </w:p>
    <w:p w:rsidR="00FE3BAB" w:rsidRDefault="00FE3BAB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 xml:space="preserve">5.4. </w:t>
      </w:r>
      <w:r w:rsidR="003A38EA" w:rsidRPr="003A38EA">
        <w:rPr>
          <w:rFonts w:ascii="Din Next" w:hAnsi="Din Next"/>
          <w:color w:val="111827"/>
        </w:rPr>
        <w:t xml:space="preserve">В период проведения Акции Участник может заказать услугу «Выезд на дом» со скидкой неограниченное количество раз.    </w:t>
      </w:r>
    </w:p>
    <w:p w:rsidR="00FE3BAB" w:rsidRDefault="00FE3BAB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5.5</w:t>
      </w:r>
      <w:r w:rsidR="003A38EA" w:rsidRPr="003A38EA">
        <w:rPr>
          <w:rFonts w:ascii="Din Next" w:hAnsi="Din Next"/>
          <w:color w:val="111827"/>
        </w:rPr>
        <w:t>. Взятие биоматериала (крови из вены, мазка/соскоба) для выполнения лабораторных исследований осуществляется исключительно на дому у Участ</w:t>
      </w:r>
      <w:r>
        <w:rPr>
          <w:rFonts w:ascii="Din Next" w:hAnsi="Din Next"/>
          <w:color w:val="111827"/>
        </w:rPr>
        <w:t xml:space="preserve">ников Акции. </w:t>
      </w:r>
      <w:r w:rsidR="003A38EA" w:rsidRPr="003A38EA">
        <w:rPr>
          <w:rFonts w:ascii="Din Next" w:hAnsi="Din Next"/>
          <w:color w:val="111827"/>
        </w:rPr>
        <w:t xml:space="preserve">Для биоматериала, взятие которого осуществляется Участником самостоятельно (например, моча/кал), Участнику Акции необходимо заранее приобрести специальный контейнер в медицинском </w:t>
      </w:r>
      <w:r>
        <w:rPr>
          <w:rFonts w:ascii="Din Next" w:hAnsi="Din Next"/>
          <w:color w:val="111827"/>
        </w:rPr>
        <w:t>центре или аптеке.      5.6</w:t>
      </w:r>
      <w:r w:rsidR="003A38EA" w:rsidRPr="003A38EA">
        <w:rPr>
          <w:rFonts w:ascii="Din Next" w:hAnsi="Din Next"/>
          <w:color w:val="111827"/>
        </w:rPr>
        <w:t xml:space="preserve">. Оформление заказов Участников Акции на оказание медицинских услуг осуществляется на дому у Участников Акции путем заключения Участником Акции договора на оказание платных медицинских услуг.      </w:t>
      </w:r>
    </w:p>
    <w:p w:rsidR="00FE3BAB" w:rsidRDefault="00FE3BAB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5.7</w:t>
      </w:r>
      <w:r w:rsidR="003A38EA" w:rsidRPr="003A38EA">
        <w:rPr>
          <w:rFonts w:ascii="Din Next" w:hAnsi="Din Next"/>
          <w:color w:val="111827"/>
        </w:rPr>
        <w:t xml:space="preserve">. Участие в Акции предполагает оказание ее Участникам в соответствии с условиями Акции только услуг, указанных в настоящих Правилах.     </w:t>
      </w:r>
    </w:p>
    <w:p w:rsidR="00FE3BAB" w:rsidRDefault="00FE3BAB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5.8</w:t>
      </w:r>
      <w:r w:rsidR="003A38EA" w:rsidRPr="003A38EA">
        <w:rPr>
          <w:rFonts w:ascii="Din Next" w:hAnsi="Din Next"/>
          <w:color w:val="111827"/>
        </w:rPr>
        <w:t xml:space="preserve">. Участники Акции обязаны выполнить предварительные условия подготовки к взятию биоматериала для проведения лабораторных исследований, указанные на сайте </w:t>
      </w:r>
      <w:proofErr w:type="gramStart"/>
      <w:r>
        <w:rPr>
          <w:rFonts w:ascii="Din Next" w:hAnsi="Din Next"/>
          <w:color w:val="111827"/>
          <w:lang w:val="en-US"/>
        </w:rPr>
        <w:t>helix</w:t>
      </w:r>
      <w:r w:rsidRPr="00FE3BAB">
        <w:rPr>
          <w:rFonts w:ascii="Din Next" w:hAnsi="Din Next"/>
          <w:color w:val="111827"/>
        </w:rPr>
        <w:t>.</w:t>
      </w:r>
      <w:r>
        <w:rPr>
          <w:rFonts w:ascii="Din Next" w:hAnsi="Din Next"/>
          <w:color w:val="111827"/>
          <w:lang w:val="en-US"/>
        </w:rPr>
        <w:t>expert</w:t>
      </w:r>
      <w:proofErr w:type="gramEnd"/>
      <w:r w:rsidR="003A38EA" w:rsidRPr="003A38EA">
        <w:rPr>
          <w:rFonts w:ascii="Din Next" w:hAnsi="Din Next"/>
          <w:color w:val="111827"/>
        </w:rPr>
        <w:t xml:space="preserve"> в разделе «Анализы» - «Подготовка к анализам».    </w:t>
      </w:r>
    </w:p>
    <w:p w:rsidR="00FE3BAB" w:rsidRDefault="00FE3BAB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5.</w:t>
      </w:r>
      <w:r w:rsidRPr="00FE3BAB">
        <w:rPr>
          <w:rFonts w:ascii="Din Next" w:hAnsi="Din Next"/>
          <w:color w:val="111827"/>
        </w:rPr>
        <w:t>9</w:t>
      </w:r>
      <w:r w:rsidR="003A38EA" w:rsidRPr="003A38EA">
        <w:rPr>
          <w:rFonts w:ascii="Din Next" w:hAnsi="Din Next"/>
          <w:color w:val="111827"/>
        </w:rPr>
        <w:t xml:space="preserve">. Организатор Акции вправе отказать Участникам Акции во взятии биоматериала у Участников Акции и проведении лабораторных исследований в случае выявления противопоказаний к проведению данных лабораторных исследований.     </w:t>
      </w:r>
    </w:p>
    <w:p w:rsidR="00186250" w:rsidRDefault="00FE3BAB" w:rsidP="00346AA7">
      <w:pPr>
        <w:spacing w:after="0" w:line="330" w:lineRule="atLeast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5.</w:t>
      </w:r>
      <w:r w:rsidRPr="00186250">
        <w:rPr>
          <w:rFonts w:ascii="Din Next" w:hAnsi="Din Next"/>
          <w:color w:val="111827"/>
        </w:rPr>
        <w:t>10</w:t>
      </w:r>
      <w:r w:rsidR="003A38EA" w:rsidRPr="003A38EA">
        <w:rPr>
          <w:rFonts w:ascii="Din Next" w:hAnsi="Din Next"/>
          <w:color w:val="111827"/>
        </w:rPr>
        <w:t xml:space="preserve">. Срок выполнения лабораторных исследований указан на сайте </w:t>
      </w:r>
      <w:proofErr w:type="gramStart"/>
      <w:r w:rsidR="00186250">
        <w:rPr>
          <w:rFonts w:ascii="Din Next" w:hAnsi="Din Next"/>
          <w:color w:val="111827"/>
          <w:lang w:val="en-US"/>
        </w:rPr>
        <w:t>helix</w:t>
      </w:r>
      <w:r w:rsidR="00186250" w:rsidRPr="00186250">
        <w:rPr>
          <w:rFonts w:ascii="Din Next" w:hAnsi="Din Next"/>
          <w:color w:val="111827"/>
        </w:rPr>
        <w:t>.</w:t>
      </w:r>
      <w:r w:rsidR="00186250">
        <w:rPr>
          <w:rFonts w:ascii="Din Next" w:hAnsi="Din Next"/>
          <w:color w:val="111827"/>
          <w:lang w:val="en-US"/>
        </w:rPr>
        <w:t>expert</w:t>
      </w:r>
      <w:proofErr w:type="gramEnd"/>
      <w:r w:rsidR="00186250">
        <w:rPr>
          <w:rFonts w:ascii="Din Next" w:hAnsi="Din Next"/>
          <w:color w:val="111827"/>
        </w:rPr>
        <w:t xml:space="preserve"> в разделе «Анализы», а также в спецификации (в приложении к договору). </w:t>
      </w:r>
      <w:r w:rsidR="003A38EA" w:rsidRPr="003A38EA">
        <w:rPr>
          <w:rFonts w:ascii="Din Next" w:hAnsi="Din Next"/>
          <w:color w:val="111827"/>
        </w:rPr>
        <w:t xml:space="preserve">    </w:t>
      </w:r>
    </w:p>
    <w:p w:rsidR="00D14569" w:rsidRPr="00D14569" w:rsidRDefault="00186250" w:rsidP="00D14569">
      <w:pPr>
        <w:spacing w:after="0" w:line="330" w:lineRule="atLeast"/>
        <w:rPr>
          <w:rFonts w:ascii="Din Next" w:eastAsia="Times New Roman" w:hAnsi="Din Next" w:cs="Times New Roman"/>
          <w:color w:val="111827"/>
          <w:lang w:eastAsia="ru-RU"/>
        </w:rPr>
      </w:pPr>
      <w:r>
        <w:rPr>
          <w:rFonts w:ascii="Din Next" w:hAnsi="Din Next"/>
          <w:color w:val="111827"/>
        </w:rPr>
        <w:t>5.11</w:t>
      </w:r>
      <w:r w:rsidR="003A38EA" w:rsidRPr="003A38EA">
        <w:rPr>
          <w:rFonts w:ascii="Din Next" w:hAnsi="Din Next"/>
          <w:color w:val="111827"/>
        </w:rPr>
        <w:t xml:space="preserve">. По окончании выполнения лабораторных исследований Участникам Акции выдаются результаты данных лабораторных исследований в порядке, указанном в п. </w:t>
      </w:r>
      <w:r>
        <w:rPr>
          <w:rFonts w:ascii="Din Next" w:hAnsi="Din Next"/>
          <w:color w:val="111827"/>
        </w:rPr>
        <w:t>7</w:t>
      </w:r>
      <w:r w:rsidR="003A38EA" w:rsidRPr="003A38EA">
        <w:rPr>
          <w:rFonts w:ascii="Din Next" w:hAnsi="Din Next"/>
          <w:color w:val="111827"/>
        </w:rPr>
        <w:t xml:space="preserve"> настоящих Правил.     5.</w:t>
      </w:r>
      <w:r>
        <w:rPr>
          <w:rFonts w:ascii="Din Next" w:hAnsi="Din Next"/>
          <w:color w:val="111827"/>
        </w:rPr>
        <w:t>12</w:t>
      </w:r>
      <w:r w:rsidR="003A38EA" w:rsidRPr="003A38EA">
        <w:rPr>
          <w:rFonts w:ascii="Din Next" w:hAnsi="Din Next"/>
          <w:color w:val="111827"/>
        </w:rPr>
        <w:t xml:space="preserve">. </w:t>
      </w:r>
      <w:r w:rsidR="00D14569">
        <w:rPr>
          <w:rFonts w:ascii="Din Next" w:hAnsi="Din Next"/>
          <w:color w:val="111827"/>
        </w:rPr>
        <w:t xml:space="preserve"> </w:t>
      </w:r>
      <w:r w:rsidR="00D14569" w:rsidRPr="00D14569">
        <w:rPr>
          <w:rFonts w:ascii="Din Next" w:hAnsi="Din Next"/>
          <w:color w:val="111827"/>
        </w:rPr>
        <w:t xml:space="preserve">Бесплатный </w:t>
      </w:r>
      <w:r w:rsidR="00D14569" w:rsidRPr="00D14569">
        <w:rPr>
          <w:rFonts w:ascii="Din Next" w:eastAsia="Times New Roman" w:hAnsi="Din Next" w:cs="Times New Roman"/>
          <w:color w:val="111827"/>
          <w:lang w:eastAsia="ru-RU"/>
        </w:rPr>
        <w:t>выезд осуществляется от суммы заказа</w:t>
      </w:r>
      <w:r w:rsidR="001B278E">
        <w:rPr>
          <w:rFonts w:ascii="Din Next" w:eastAsia="Times New Roman" w:hAnsi="Din Next" w:cs="Times New Roman"/>
          <w:color w:val="111827"/>
          <w:lang w:eastAsia="ru-RU"/>
        </w:rPr>
        <w:t xml:space="preserve"> без учета взятия </w:t>
      </w:r>
      <w:proofErr w:type="spellStart"/>
      <w:r w:rsidR="001B278E">
        <w:rPr>
          <w:rFonts w:ascii="Din Next" w:eastAsia="Times New Roman" w:hAnsi="Din Next" w:cs="Times New Roman"/>
          <w:color w:val="111827"/>
          <w:lang w:eastAsia="ru-RU"/>
        </w:rPr>
        <w:t>биоматерала</w:t>
      </w:r>
      <w:proofErr w:type="spellEnd"/>
      <w:r w:rsidR="001B278E">
        <w:rPr>
          <w:rFonts w:ascii="Din Next" w:eastAsia="Times New Roman" w:hAnsi="Din Next" w:cs="Times New Roman"/>
          <w:color w:val="111827"/>
          <w:lang w:eastAsia="ru-RU"/>
        </w:rPr>
        <w:t xml:space="preserve"> и </w:t>
      </w:r>
      <w:proofErr w:type="spellStart"/>
      <w:r w:rsidR="001B278E">
        <w:rPr>
          <w:rFonts w:ascii="Din Next" w:eastAsia="Times New Roman" w:hAnsi="Din Next" w:cs="Times New Roman"/>
          <w:color w:val="111827"/>
          <w:lang w:eastAsia="ru-RU"/>
        </w:rPr>
        <w:t>акционных</w:t>
      </w:r>
      <w:proofErr w:type="spellEnd"/>
      <w:r w:rsidR="001B278E">
        <w:rPr>
          <w:rFonts w:ascii="Din Next" w:eastAsia="Times New Roman" w:hAnsi="Din Next" w:cs="Times New Roman"/>
          <w:color w:val="111827"/>
          <w:lang w:eastAsia="ru-RU"/>
        </w:rPr>
        <w:t xml:space="preserve"> </w:t>
      </w:r>
      <w:proofErr w:type="gramStart"/>
      <w:r w:rsidR="001B278E">
        <w:rPr>
          <w:rFonts w:ascii="Din Next" w:eastAsia="Times New Roman" w:hAnsi="Din Next" w:cs="Times New Roman"/>
          <w:color w:val="111827"/>
          <w:lang w:eastAsia="ru-RU"/>
        </w:rPr>
        <w:t xml:space="preserve">предложений </w:t>
      </w:r>
      <w:r w:rsidR="00D14569" w:rsidRPr="00D14569">
        <w:rPr>
          <w:rFonts w:ascii="Din Next" w:eastAsia="Times New Roman" w:hAnsi="Din Next" w:cs="Times New Roman"/>
          <w:color w:val="111827"/>
          <w:lang w:eastAsia="ru-RU"/>
        </w:rPr>
        <w:t> </w:t>
      </w:r>
      <w:r w:rsidR="00D14569"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>на</w:t>
      </w:r>
      <w:proofErr w:type="gramEnd"/>
      <w:r w:rsidR="00D14569"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 xml:space="preserve"> анализы 990 руб.</w:t>
      </w:r>
      <w:r w:rsidR="00D14569" w:rsidRPr="00D14569">
        <w:rPr>
          <w:rFonts w:ascii="Din Next" w:eastAsia="Times New Roman" w:hAnsi="Din Next" w:cs="Times New Roman"/>
          <w:color w:val="111827"/>
          <w:lang w:eastAsia="ru-RU"/>
        </w:rPr>
        <w:t> - только в черте города с 7:00-13:00.</w:t>
      </w:r>
    </w:p>
    <w:p w:rsidR="00D14569" w:rsidRPr="00D14569" w:rsidRDefault="00D14569" w:rsidP="00D14569">
      <w:pPr>
        <w:numPr>
          <w:ilvl w:val="0"/>
          <w:numId w:val="11"/>
        </w:numPr>
        <w:spacing w:after="0" w:line="330" w:lineRule="atLeast"/>
        <w:ind w:left="0"/>
        <w:rPr>
          <w:rFonts w:ascii="Din Next" w:eastAsia="Times New Roman" w:hAnsi="Din Next" w:cs="Times New Roman"/>
          <w:color w:val="111827"/>
          <w:lang w:eastAsia="ru-RU"/>
        </w:rPr>
      </w:pPr>
      <w:r w:rsidRPr="00D14569">
        <w:rPr>
          <w:rFonts w:ascii="Din Next" w:eastAsia="Times New Roman" w:hAnsi="Din Next" w:cs="Times New Roman"/>
          <w:color w:val="111827"/>
          <w:lang w:eastAsia="ru-RU"/>
        </w:rPr>
        <w:t>Если сумма чека </w:t>
      </w:r>
      <w:r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>менее 990 руб.</w:t>
      </w:r>
      <w:r w:rsidRPr="00D14569">
        <w:rPr>
          <w:rFonts w:ascii="Din Next" w:eastAsia="Times New Roman" w:hAnsi="Din Next" w:cs="Times New Roman"/>
          <w:color w:val="111827"/>
          <w:lang w:eastAsia="ru-RU"/>
        </w:rPr>
        <w:t> выезд в будний день – </w:t>
      </w:r>
      <w:r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>600 руб.</w:t>
      </w:r>
    </w:p>
    <w:p w:rsidR="00D14569" w:rsidRPr="00D14569" w:rsidRDefault="00D14569" w:rsidP="00D14569">
      <w:pPr>
        <w:numPr>
          <w:ilvl w:val="0"/>
          <w:numId w:val="11"/>
        </w:numPr>
        <w:spacing w:after="0" w:line="330" w:lineRule="atLeast"/>
        <w:ind w:left="0"/>
        <w:rPr>
          <w:rFonts w:ascii="Din Next" w:eastAsia="Times New Roman" w:hAnsi="Din Next" w:cs="Times New Roman"/>
          <w:color w:val="111827"/>
          <w:lang w:eastAsia="ru-RU"/>
        </w:rPr>
      </w:pPr>
      <w:r w:rsidRPr="00D14569">
        <w:rPr>
          <w:rFonts w:ascii="Din Next" w:eastAsia="Times New Roman" w:hAnsi="Din Next" w:cs="Times New Roman"/>
          <w:color w:val="111827"/>
          <w:lang w:eastAsia="ru-RU"/>
        </w:rPr>
        <w:t>Выезд </w:t>
      </w:r>
      <w:r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>на ПЦР тест Covid-19 - 600 руб.</w:t>
      </w:r>
      <w:r w:rsidRPr="00D14569">
        <w:rPr>
          <w:rFonts w:ascii="Din Next" w:eastAsia="Times New Roman" w:hAnsi="Din Next" w:cs="Times New Roman"/>
          <w:color w:val="111827"/>
          <w:lang w:eastAsia="ru-RU"/>
        </w:rPr>
        <w:t> в черте города в будние дни.</w:t>
      </w:r>
    </w:p>
    <w:p w:rsidR="00D14569" w:rsidRPr="00D14569" w:rsidRDefault="00D14569" w:rsidP="00D14569">
      <w:pPr>
        <w:numPr>
          <w:ilvl w:val="0"/>
          <w:numId w:val="11"/>
        </w:numPr>
        <w:spacing w:after="0" w:line="330" w:lineRule="atLeast"/>
        <w:ind w:left="0"/>
        <w:rPr>
          <w:rFonts w:ascii="Din Next" w:eastAsia="Times New Roman" w:hAnsi="Din Next" w:cs="Times New Roman"/>
          <w:color w:val="111827"/>
          <w:lang w:eastAsia="ru-RU"/>
        </w:rPr>
      </w:pPr>
      <w:r w:rsidRPr="00D14569">
        <w:rPr>
          <w:rFonts w:ascii="Din Next" w:eastAsia="Times New Roman" w:hAnsi="Din Next" w:cs="Times New Roman"/>
          <w:color w:val="111827"/>
          <w:lang w:eastAsia="ru-RU"/>
        </w:rPr>
        <w:t>Выезд за пределы города, а также в праздничные дни - </w:t>
      </w:r>
      <w:r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>900 руб.</w:t>
      </w:r>
    </w:p>
    <w:p w:rsidR="00D14569" w:rsidRPr="00D14569" w:rsidRDefault="00D14569" w:rsidP="00D14569">
      <w:pPr>
        <w:numPr>
          <w:ilvl w:val="0"/>
          <w:numId w:val="11"/>
        </w:numPr>
        <w:spacing w:after="0" w:line="330" w:lineRule="atLeast"/>
        <w:ind w:left="0"/>
        <w:rPr>
          <w:rFonts w:ascii="Din Next" w:eastAsia="Times New Roman" w:hAnsi="Din Next" w:cs="Times New Roman"/>
          <w:color w:val="111827"/>
          <w:lang w:eastAsia="ru-RU"/>
        </w:rPr>
      </w:pPr>
      <w:r w:rsidRPr="00D14569">
        <w:rPr>
          <w:rFonts w:ascii="Din Next" w:eastAsia="Times New Roman" w:hAnsi="Din Next" w:cs="Times New Roman"/>
          <w:color w:val="111827"/>
          <w:lang w:eastAsia="ru-RU"/>
        </w:rPr>
        <w:t>Выезд в выходной день - </w:t>
      </w:r>
      <w:r w:rsidRPr="00D14569">
        <w:rPr>
          <w:rFonts w:ascii="Din Next" w:eastAsia="Times New Roman" w:hAnsi="Din Next" w:cs="Times New Roman"/>
          <w:b/>
          <w:bCs/>
          <w:color w:val="111827"/>
          <w:lang w:eastAsia="ru-RU"/>
        </w:rPr>
        <w:t>600 руб.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721AA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21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C39" w:rsidRPr="00727620" w:rsidRDefault="00711C39" w:rsidP="00711C3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711C39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C39" w:rsidRPr="00D5017B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="00753825"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должны разрешать принимать сообщения из интернет-домена </w:t>
      </w:r>
      <w:r w:rsidR="00D501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="00D5017B"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1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1D6E74"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D6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biomed</w:t>
      </w:r>
      <w:r w:rsidR="001D6E74"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 w:rsidR="001D6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5017B"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7" w:history="1">
        <w:r w:rsidR="001D6E74"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1D6E74"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D6E74"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="001D6E74"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</w:t>
      </w:r>
      <w:r w:rsidR="001D6E74"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</w:t>
      </w:r>
      <w:r w:rsidR="001B27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аторные исследования, выполненны</w:t>
      </w:r>
      <w:r w:rsid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ООО «</w:t>
      </w:r>
      <w:proofErr w:type="spellStart"/>
      <w:r w:rsid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БиоМед</w:t>
      </w:r>
      <w:proofErr w:type="spellEnd"/>
      <w:r w:rsid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+»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 w:rsid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6AA7" w:rsidRPr="00D5017B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6AA7"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A7" w:rsidRPr="00346AA7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346AA7" w:rsidRPr="00346AA7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7620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="00727620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AA7" w:rsidRPr="00346AA7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7620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346AA7" w:rsidRPr="00346AA7" w:rsidRDefault="00711C39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7620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="00727620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C8F" w:rsidRPr="00B00C8F" w:rsidRDefault="00B00C8F" w:rsidP="00346AA7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E41BFA" w:rsidRDefault="00E41BFA"/>
    <w:p w:rsidR="006B079E" w:rsidRDefault="006B079E"/>
    <w:p w:rsidR="006B079E" w:rsidRDefault="006B079E"/>
    <w:p w:rsidR="006B079E" w:rsidRDefault="006B079E"/>
    <w:p w:rsidR="006B079E" w:rsidRDefault="006B079E"/>
    <w:p w:rsidR="006B079E" w:rsidRDefault="00D33BB3" w:rsidP="00D33BB3">
      <w:pPr>
        <w:jc w:val="right"/>
      </w:pPr>
      <w:r>
        <w:lastRenderedPageBreak/>
        <w:t>Приложение 1</w:t>
      </w:r>
    </w:p>
    <w:p w:rsidR="00D33BB3" w:rsidRDefault="00D33BB3" w:rsidP="00D33BB3">
      <w:r>
        <w:t>Перечень исключений лабораторной диагностики ООО «</w:t>
      </w:r>
      <w:proofErr w:type="spellStart"/>
      <w:r>
        <w:t>БиоМед</w:t>
      </w:r>
      <w:proofErr w:type="spellEnd"/>
      <w:r>
        <w:t>+»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D33BB3" w:rsidTr="00084A13">
        <w:tc>
          <w:tcPr>
            <w:tcW w:w="2263" w:type="dxa"/>
          </w:tcPr>
          <w:p w:rsidR="00D33BB3" w:rsidRDefault="00D33BB3" w:rsidP="00084A13">
            <w:pPr>
              <w:jc w:val="center"/>
            </w:pPr>
            <w:r>
              <w:t>АРТИКУЛ</w:t>
            </w:r>
          </w:p>
        </w:tc>
        <w:tc>
          <w:tcPr>
            <w:tcW w:w="7082" w:type="dxa"/>
          </w:tcPr>
          <w:p w:rsidR="00D33BB3" w:rsidRDefault="00D33BB3" w:rsidP="00084A13">
            <w:pPr>
              <w:jc w:val="center"/>
            </w:pPr>
            <w:r>
              <w:t>Название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8F07E9">
              <w:t xml:space="preserve">03.03.072 </w:t>
            </w:r>
            <w:proofErr w:type="spellStart"/>
            <w:r w:rsidRPr="008F07E9">
              <w:t>cito</w:t>
            </w:r>
            <w:proofErr w:type="spellEnd"/>
          </w:p>
        </w:tc>
        <w:tc>
          <w:tcPr>
            <w:tcW w:w="7082" w:type="dxa"/>
          </w:tcPr>
          <w:p w:rsidR="00D33BB3" w:rsidRDefault="00D33BB3" w:rsidP="00084A13">
            <w:r w:rsidRPr="008F07E9">
              <w:t>Время свертывания по Сухареву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03.04.072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cito</w:t>
            </w:r>
            <w:proofErr w:type="spellEnd"/>
          </w:p>
        </w:tc>
        <w:tc>
          <w:tcPr>
            <w:tcW w:w="7082" w:type="dxa"/>
          </w:tcPr>
          <w:p w:rsidR="00D33BB3" w:rsidRDefault="00D33BB3" w:rsidP="00084A13">
            <w:r w:rsidRPr="008F07E9">
              <w:t xml:space="preserve">Время кровотечения по </w:t>
            </w:r>
            <w:proofErr w:type="spellStart"/>
            <w:r w:rsidRPr="008F07E9">
              <w:t>Дюке</w:t>
            </w:r>
            <w:proofErr w:type="spellEnd"/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>
              <w:t>21.03.001</w:t>
            </w:r>
          </w:p>
        </w:tc>
        <w:tc>
          <w:tcPr>
            <w:tcW w:w="7082" w:type="dxa"/>
          </w:tcPr>
          <w:p w:rsidR="00D33BB3" w:rsidRDefault="00D33BB3" w:rsidP="00084A13">
            <w:r w:rsidRPr="008F07E9">
              <w:t>Микроскопическое исследование отделяемого уретры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>
              <w:t>21.03.002</w:t>
            </w:r>
          </w:p>
        </w:tc>
        <w:tc>
          <w:tcPr>
            <w:tcW w:w="7082" w:type="dxa"/>
          </w:tcPr>
          <w:p w:rsidR="00D33BB3" w:rsidRDefault="00D33BB3" w:rsidP="00084A13">
            <w:r w:rsidRPr="008F07E9">
              <w:t>Микроскопическое исследование мазка-отпечатка головки полового члена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>
              <w:t>21.03.003</w:t>
            </w:r>
          </w:p>
        </w:tc>
        <w:tc>
          <w:tcPr>
            <w:tcW w:w="7082" w:type="dxa"/>
          </w:tcPr>
          <w:p w:rsidR="00D33BB3" w:rsidRDefault="00D33BB3" w:rsidP="00084A13">
            <w:r w:rsidRPr="008F07E9">
              <w:t>Микроскопическое исследование отделяемого цервикального канала</w:t>
            </w:r>
          </w:p>
        </w:tc>
      </w:tr>
      <w:tr w:rsidR="00D33BB3" w:rsidTr="00084A13">
        <w:tc>
          <w:tcPr>
            <w:tcW w:w="2263" w:type="dxa"/>
          </w:tcPr>
          <w:p w:rsidR="00D33BB3" w:rsidRPr="00CC09A7" w:rsidRDefault="00D33BB3" w:rsidP="00084A13">
            <w:pPr>
              <w:rPr>
                <w:lang w:val="en-US"/>
              </w:rPr>
            </w:pPr>
            <w:r>
              <w:t>21.03.004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735AA4">
              <w:t>Микроскопическое исследование отделяемого влагалища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12.00.002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CC09A7">
              <w:t>Цитологическое исследование соскоба с шейки матки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12.00.003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Цитологическое исследование соскоба из цервикального канала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12.00.004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Цитологическое исследование смешанного соскоба c шейки матки и из цервикального канала</w:t>
            </w:r>
          </w:p>
        </w:tc>
      </w:tr>
      <w:tr w:rsidR="00D33BB3" w:rsidTr="00084A13">
        <w:tc>
          <w:tcPr>
            <w:tcW w:w="2263" w:type="dxa"/>
          </w:tcPr>
          <w:p w:rsidR="00D33BB3" w:rsidRPr="00A254F7" w:rsidRDefault="00D33BB3" w:rsidP="00084A13">
            <w:pPr>
              <w:rPr>
                <w:lang w:val="en-US"/>
              </w:rPr>
            </w:pPr>
            <w:r w:rsidRPr="00A254F7">
              <w:t>12.00.00</w:t>
            </w:r>
            <w:r>
              <w:rPr>
                <w:lang w:val="en-US"/>
              </w:rPr>
              <w:t>5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Цитологическое исследование аспирата из полости матки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12.00.00</w:t>
            </w:r>
            <w:r>
              <w:t>9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 xml:space="preserve">Цитологическое исследование </w:t>
            </w:r>
            <w:proofErr w:type="spellStart"/>
            <w:r w:rsidRPr="00A254F7">
              <w:t>пунктатов</w:t>
            </w:r>
            <w:proofErr w:type="spellEnd"/>
            <w:r w:rsidRPr="00A254F7">
              <w:t xml:space="preserve"> молочной железы и кожи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12.00.010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 xml:space="preserve">Цитологическое исследование </w:t>
            </w:r>
            <w:proofErr w:type="spellStart"/>
            <w:r w:rsidRPr="00A254F7">
              <w:t>пунктатов</w:t>
            </w:r>
            <w:proofErr w:type="spellEnd"/>
            <w:r w:rsidRPr="00A254F7">
              <w:t xml:space="preserve"> щитовидной железы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12.00.014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Цитологическое исследование соскобов и отпечатков ВМС, эрозий, ран, осадка мочи, свищей, отделяемого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22.00.021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 xml:space="preserve">Микроскопическое исследование отделяемого урогенитального тракта (цервикальный </w:t>
            </w:r>
            <w:proofErr w:type="spellStart"/>
            <w:r w:rsidRPr="00A254F7">
              <w:t>канал+влагалище+уретра</w:t>
            </w:r>
            <w:proofErr w:type="spellEnd"/>
            <w:r w:rsidRPr="00A254F7">
              <w:t>), скрининг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20.01.001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Посев на микрофлору отделяемого урогенитального тракта женщины с идентификацией микроорганизмов и определением чувствительности к  антибиотикам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20.01.003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 xml:space="preserve">Посев на микрофлору отделяемого урогенитального тракта мужчины с идентификацией микроорганизмов и определением чувствительности к антибиотикам, </w:t>
            </w:r>
            <w:proofErr w:type="spellStart"/>
            <w:r w:rsidRPr="00A254F7">
              <w:t>антимикотикам</w:t>
            </w:r>
            <w:proofErr w:type="spellEnd"/>
            <w:r w:rsidRPr="00A254F7">
              <w:t xml:space="preserve"> и бактериофагам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20.02.001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 xml:space="preserve">Комплексная оценка состояния </w:t>
            </w:r>
            <w:proofErr w:type="spellStart"/>
            <w:r w:rsidRPr="00A254F7">
              <w:t>микроценоза</w:t>
            </w:r>
            <w:proofErr w:type="spellEnd"/>
            <w:r w:rsidRPr="00A254F7">
              <w:t xml:space="preserve"> влагалища с идентификацией микроорганизмов методом времяпролетной </w:t>
            </w:r>
            <w:proofErr w:type="spellStart"/>
            <w:r w:rsidRPr="00A254F7">
              <w:t>МАСС-спектрометрии</w:t>
            </w:r>
            <w:proofErr w:type="spellEnd"/>
            <w:r w:rsidRPr="00A254F7">
              <w:t xml:space="preserve"> (MALDI-TOF) и определением чувствительности к антибиотикам и микроскопией с окраской по </w:t>
            </w:r>
            <w:proofErr w:type="spellStart"/>
            <w:r w:rsidRPr="00A254F7">
              <w:t>Граму</w:t>
            </w:r>
            <w:proofErr w:type="spellEnd"/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20.03.001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Посев на микрофлору отделяемого урогенитального тракта мужчины с идентификацией микроорганизмов и определением чувствительности к антибиотикам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A254F7">
              <w:t>20.03.003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A254F7">
              <w:t>Посев на микрофлору отделяемого урогенитального тракта мужчины с идентификацией микроорганизмов  и определением чувствительности к  антибиотикам  и бактериофагам</w:t>
            </w:r>
          </w:p>
        </w:tc>
      </w:tr>
      <w:tr w:rsidR="00D33BB3" w:rsidTr="00084A13">
        <w:tc>
          <w:tcPr>
            <w:tcW w:w="2263" w:type="dxa"/>
          </w:tcPr>
          <w:p w:rsidR="00D33BB3" w:rsidRPr="003F7F16" w:rsidRDefault="00D33BB3" w:rsidP="00084A13"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001-</w:t>
            </w:r>
            <w:r>
              <w:t>20.04.772</w:t>
            </w:r>
          </w:p>
        </w:tc>
        <w:tc>
          <w:tcPr>
            <w:tcW w:w="7082" w:type="dxa"/>
          </w:tcPr>
          <w:p w:rsidR="00D33BB3" w:rsidRPr="008F07E9" w:rsidRDefault="00D33BB3" w:rsidP="00084A13">
            <w:r>
              <w:t xml:space="preserve">Посевы </w:t>
            </w:r>
          </w:p>
        </w:tc>
      </w:tr>
      <w:tr w:rsidR="00D33BB3" w:rsidTr="00084A13">
        <w:trPr>
          <w:trHeight w:val="269"/>
        </w:trPr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D33BB3" w:rsidRDefault="00D33BB3" w:rsidP="00084A13"/>
          <w:p w:rsidR="00D33BB3" w:rsidRDefault="00D33BB3" w:rsidP="00084A13">
            <w:r>
              <w:t xml:space="preserve">Перечень исключений лабораторной диагностики </w:t>
            </w:r>
            <w:r>
              <w:t>в диагностических и лабораторных центрах «</w:t>
            </w:r>
            <w:proofErr w:type="spellStart"/>
            <w:r>
              <w:t>Хеликс</w:t>
            </w:r>
            <w:proofErr w:type="spellEnd"/>
            <w:r>
              <w:t>»</w:t>
            </w:r>
          </w:p>
          <w:p w:rsidR="00D33BB3" w:rsidRPr="008F07E9" w:rsidRDefault="00D33BB3" w:rsidP="00084A13"/>
        </w:tc>
      </w:tr>
      <w:tr w:rsidR="00D33BB3" w:rsidTr="00084A13">
        <w:tc>
          <w:tcPr>
            <w:tcW w:w="2263" w:type="dxa"/>
          </w:tcPr>
          <w:p w:rsidR="00D33BB3" w:rsidRDefault="00D33BB3" w:rsidP="00084A13">
            <w:r w:rsidRPr="008F07E9">
              <w:t>A11.20.023</w:t>
            </w:r>
          </w:p>
        </w:tc>
        <w:tc>
          <w:tcPr>
            <w:tcW w:w="7082" w:type="dxa"/>
          </w:tcPr>
          <w:p w:rsidR="00D33BB3" w:rsidRPr="008F07E9" w:rsidRDefault="00D33BB3" w:rsidP="00084A13">
            <w:r w:rsidRPr="008F07E9">
              <w:t>Получение отделяемого из соска молочной железы (мазок-отпечаток)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>
              <w:t>А 11.01.009</w:t>
            </w:r>
          </w:p>
        </w:tc>
        <w:tc>
          <w:tcPr>
            <w:tcW w:w="7082" w:type="dxa"/>
          </w:tcPr>
          <w:p w:rsidR="00D33BB3" w:rsidRPr="008F07E9" w:rsidRDefault="00D33BB3" w:rsidP="00084A13">
            <w:r>
              <w:t xml:space="preserve">Соскоб соска </w:t>
            </w:r>
          </w:p>
        </w:tc>
      </w:tr>
      <w:tr w:rsidR="00D33BB3" w:rsidTr="00084A13">
        <w:tc>
          <w:tcPr>
            <w:tcW w:w="2263" w:type="dxa"/>
          </w:tcPr>
          <w:p w:rsidR="00D33BB3" w:rsidRDefault="00D33BB3" w:rsidP="00084A13">
            <w:r>
              <w:t>12-001-12-306</w:t>
            </w:r>
          </w:p>
        </w:tc>
        <w:tc>
          <w:tcPr>
            <w:tcW w:w="7082" w:type="dxa"/>
          </w:tcPr>
          <w:p w:rsidR="00D33BB3" w:rsidRPr="008F07E9" w:rsidRDefault="00D33BB3" w:rsidP="00084A13">
            <w:r>
              <w:t>Цитологические, морфологические, гистохимические обследование</w:t>
            </w:r>
          </w:p>
        </w:tc>
      </w:tr>
    </w:tbl>
    <w:p w:rsidR="00D33BB3" w:rsidRDefault="00D33BB3" w:rsidP="00D33BB3"/>
    <w:p w:rsidR="00D33BB3" w:rsidRDefault="00D33BB3" w:rsidP="00D33BB3"/>
    <w:p w:rsidR="00D33BB3" w:rsidRDefault="00D33BB3"/>
    <w:p w:rsidR="00D33BB3" w:rsidRDefault="00D33BB3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97BF5"/>
    <w:multiLevelType w:val="hybridMultilevel"/>
    <w:tmpl w:val="1B68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5" w15:restartNumberingAfterBreak="0">
    <w:nsid w:val="4E7C3B41"/>
    <w:multiLevelType w:val="multilevel"/>
    <w:tmpl w:val="FF7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1E1C46"/>
    <w:multiLevelType w:val="multilevel"/>
    <w:tmpl w:val="9AB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186250"/>
    <w:rsid w:val="001B278E"/>
    <w:rsid w:val="001D6E74"/>
    <w:rsid w:val="0033337C"/>
    <w:rsid w:val="00346AA7"/>
    <w:rsid w:val="003A38EA"/>
    <w:rsid w:val="003B500A"/>
    <w:rsid w:val="00435096"/>
    <w:rsid w:val="00460FB6"/>
    <w:rsid w:val="005319CD"/>
    <w:rsid w:val="005E2FB9"/>
    <w:rsid w:val="00627C13"/>
    <w:rsid w:val="006935D2"/>
    <w:rsid w:val="006B079E"/>
    <w:rsid w:val="00711C39"/>
    <w:rsid w:val="00721AA8"/>
    <w:rsid w:val="00727620"/>
    <w:rsid w:val="00753825"/>
    <w:rsid w:val="00780297"/>
    <w:rsid w:val="007D05B2"/>
    <w:rsid w:val="007E6245"/>
    <w:rsid w:val="008569C2"/>
    <w:rsid w:val="008D1EAB"/>
    <w:rsid w:val="008F397A"/>
    <w:rsid w:val="009811CF"/>
    <w:rsid w:val="00B00C8F"/>
    <w:rsid w:val="00BD0FE4"/>
    <w:rsid w:val="00CA409A"/>
    <w:rsid w:val="00D14569"/>
    <w:rsid w:val="00D33BB3"/>
    <w:rsid w:val="00D343E2"/>
    <w:rsid w:val="00D5017B"/>
    <w:rsid w:val="00D94B6E"/>
    <w:rsid w:val="00DD130D"/>
    <w:rsid w:val="00E226EE"/>
    <w:rsid w:val="00E318C4"/>
    <w:rsid w:val="00E41BFA"/>
    <w:rsid w:val="00F47419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89A4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D3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" TargetMode="External"/><Relationship Id="rId5" Type="http://schemas.openxmlformats.org/officeDocument/2006/relationships/hyperlink" Target="https://helix.ru/Upload/LicenseDC/Sertifikat_1098-DC_na_Gazoviko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7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15</cp:revision>
  <dcterms:created xsi:type="dcterms:W3CDTF">2025-04-16T07:24:00Z</dcterms:created>
  <dcterms:modified xsi:type="dcterms:W3CDTF">2025-06-18T06:01:00Z</dcterms:modified>
</cp:coreProperties>
</file>