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E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r w:rsidR="00772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использования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4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рекламной акции</w:t>
      </w:r>
      <w:r w:rsidR="00772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04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Каждая 5 капельница в подарок». </w:t>
      </w:r>
    </w:p>
    <w:p w:rsidR="005049E0" w:rsidRPr="009811CF" w:rsidRDefault="005049E0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09A" w:rsidRPr="00D44031" w:rsidRDefault="00772DAE" w:rsidP="00107A6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="00D94B6E" w:rsidRPr="00226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94B6E" w:rsidRPr="0022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 w:rsidRPr="00226E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4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5 капельница в подарок</w:t>
      </w:r>
      <w:r w:rsidR="00D44031">
        <w:rPr>
          <w:rFonts w:ascii="Segoe UI" w:hAnsi="Segoe UI" w:cs="Segoe UI"/>
          <w:color w:val="000000"/>
          <w:shd w:val="clear" w:color="auto" w:fill="FFFFFF"/>
        </w:rPr>
        <w:t>»</w:t>
      </w:r>
      <w:r w:rsidR="00226E8A">
        <w:rPr>
          <w:rFonts w:ascii="Segoe UI" w:hAnsi="Segoe UI" w:cs="Segoe UI"/>
          <w:color w:val="000000"/>
          <w:shd w:val="clear" w:color="auto" w:fill="FFFFFF"/>
        </w:rPr>
        <w:t xml:space="preserve"> — </w:t>
      </w:r>
      <w:r w:rsidR="00D44031" w:rsidRPr="00D44031">
        <w:rPr>
          <w:rFonts w:ascii="Times New Roman" w:hAnsi="Times New Roman" w:cs="Times New Roman"/>
          <w:sz w:val="24"/>
          <w:szCs w:val="24"/>
        </w:rPr>
        <w:t xml:space="preserve">скидка при оплате курса </w:t>
      </w:r>
      <w:proofErr w:type="spellStart"/>
      <w:r w:rsidR="005049E0">
        <w:rPr>
          <w:rFonts w:ascii="Times New Roman" w:hAnsi="Times New Roman" w:cs="Times New Roman"/>
          <w:sz w:val="24"/>
          <w:szCs w:val="24"/>
        </w:rPr>
        <w:t>инфузионно</w:t>
      </w:r>
      <w:proofErr w:type="spellEnd"/>
      <w:r w:rsidR="005049E0">
        <w:rPr>
          <w:rFonts w:ascii="Times New Roman" w:hAnsi="Times New Roman" w:cs="Times New Roman"/>
          <w:sz w:val="24"/>
          <w:szCs w:val="24"/>
        </w:rPr>
        <w:t>-</w:t>
      </w:r>
      <w:r w:rsidR="00D44031" w:rsidRPr="00D44031">
        <w:rPr>
          <w:rFonts w:ascii="Times New Roman" w:hAnsi="Times New Roman" w:cs="Times New Roman"/>
          <w:sz w:val="24"/>
          <w:szCs w:val="24"/>
        </w:rPr>
        <w:t>капельной терапии</w:t>
      </w:r>
      <w:r w:rsidR="00226E8A" w:rsidRPr="00D44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A409A" w:rsidRPr="00727620" w:rsidRDefault="00D94B6E" w:rsidP="00CA40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Информация об Организаторе </w:t>
      </w:r>
      <w:r w:rsidR="005049E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Акции </w:t>
      </w:r>
    </w:p>
    <w:p w:rsidR="00CA409A" w:rsidRPr="00727620" w:rsidRDefault="00D94B6E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Тюмень»).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626051, Тюменская область, город Тюмень, улица Василия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дом 10/57.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ОГРН: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1167232076770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7203391289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D2" w:rsidRPr="00727620" w:rsidRDefault="006935D2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нование организации: ОБЩЕСТВО С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ОГРАНИЧЕННОЙ ОТВЕТСВЕННОСТЬЮ «БИОМЕД+»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БиоМед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+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»). 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625047, г. Тюмень,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ул.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Шебалдина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, д. 13 строение 1, этаж 1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</w:t>
      </w:r>
    </w:p>
    <w:p w:rsidR="00CA409A" w:rsidRPr="00727620" w:rsidRDefault="006935D2" w:rsidP="006935D2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6935D2" w:rsidRPr="00727620" w:rsidRDefault="00727620" w:rsidP="00CA409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          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ИНН/КПП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7203480482/720301001</w:t>
      </w:r>
    </w:p>
    <w:p w:rsidR="006935D2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1197232013725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</w:t>
      </w:r>
    </w:p>
    <w:p w:rsidR="00CA409A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CA409A" w:rsidRPr="00727620" w:rsidRDefault="00CA409A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«АНАТОМИЯЛАБ» (далее – «АНАТОМИЯЛАБ»)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625063, Тюменская область, г Тюмень, ул. Александра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, д. 4,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помещ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 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7203541953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1227200012962</w:t>
      </w:r>
    </w:p>
    <w:p w:rsidR="0013077E" w:rsidRPr="00727620" w:rsidRDefault="0013077E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13077E" w:rsidRPr="00727620" w:rsidRDefault="0013077E" w:rsidP="0013077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«Качество в крови» (далее – «Качество в крови»)</w:t>
      </w:r>
    </w:p>
    <w:p w:rsidR="001039B5" w:rsidRPr="00727620" w:rsidRDefault="0013077E" w:rsidP="0013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       Юридический адрес: 625049, Г. Тюмень, ул. Московский тракт 88/5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7203414024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720301001</w:t>
      </w:r>
    </w:p>
    <w:p w:rsidR="00D343E2" w:rsidRPr="00727620" w:rsidRDefault="00727620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        </w:t>
      </w:r>
      <w:r w:rsidR="0013077E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13077E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1177232008315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7E6245" w:rsidRPr="00727620" w:rsidRDefault="007E6245" w:rsidP="00FE2BA5">
      <w:pPr>
        <w:shd w:val="clear" w:color="auto" w:fill="FFFFFF"/>
        <w:spacing w:after="0" w:line="240" w:lineRule="auto"/>
        <w:ind w:left="708" w:firstLine="12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proofErr w:type="gram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5.Полное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фирменное наименование организации: ОБЩЕСТВО С              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Юридический адрес: 625022 Тюменская Область Тюмень Улица Газовиков</w:t>
      </w: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дом 61 Помещ.6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7203428852</w:t>
      </w:r>
      <w:proofErr w:type="gramEnd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720301001</w:t>
      </w:r>
    </w:p>
    <w:p w:rsidR="00D343E2" w:rsidRPr="00727620" w:rsidRDefault="007E6245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</w:t>
      </w:r>
      <w:r w:rsid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</w:t>
      </w: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1177232025849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2.6.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          ОГРАНИЧЕННОЙ ОТВЕТСВЕННОСТЬЮ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«Энергия жизни</w:t>
      </w:r>
      <w:proofErr w:type="gramStart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»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»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(далее – «Энергия жизни»)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lastRenderedPageBreak/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625501, Тюменская область, Тюменский р-н, п Московский, </w:t>
      </w:r>
    </w:p>
    <w:p w:rsidR="00D343E2" w:rsidRPr="00727620" w:rsidRDefault="00D343E2" w:rsidP="00D343E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Южная </w:t>
      </w:r>
      <w:proofErr w:type="spellStart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, д. 2, кв. 30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D343E2" w:rsidRPr="00727620" w:rsidRDefault="00727620" w:rsidP="00D343E2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  <w:lang w:val="ru-RU"/>
        </w:rPr>
        <w:t xml:space="preserve">            </w:t>
      </w:r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7224084112</w:t>
      </w:r>
      <w:proofErr w:type="gramEnd"/>
      <w:r w:rsidR="00D343E2" w:rsidRPr="0072762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722401001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1217200017100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2.7.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  ОГРАНИЧЕННОЙ ОТВЕТСВЕННОСТЬЮ </w:t>
      </w:r>
      <w:r w:rsidRPr="00727620">
        <w:rPr>
          <w:rFonts w:ascii="Times New Roman" w:hAnsi="Times New Roman" w:cs="Times New Roman"/>
          <w:sz w:val="24"/>
          <w:szCs w:val="24"/>
        </w:rPr>
        <w:t xml:space="preserve">"АЗБУКА МЕД"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(далее – «АЗБУКА МЕД</w:t>
      </w:r>
      <w:r w:rsidR="00BD0FE4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625040, РОССИЯ, ТЮМЕНСКАЯ ОБЛАСТЬ, Г ТЮМЕНЬ, УЛ ТИМОФЕЯ ЧАРКОВА, Д 83, ПОМ 19, ОФ 2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7203577050</w:t>
      </w:r>
      <w:proofErr w:type="gramEnd"/>
      <w:r w:rsidRPr="00727620">
        <w:rPr>
          <w:rFonts w:ascii="Times New Roman" w:hAnsi="Times New Roman" w:cs="Times New Roman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720301001</w:t>
      </w:r>
    </w:p>
    <w:p w:rsidR="00D343E2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1247200011288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0FE4" w:rsidRPr="00727620" w:rsidRDefault="00BD0FE4" w:rsidP="00BD0FE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2.8.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  ОГРАНИЧЕННОЙ ОТВЕТСВЕННОСТЬЮ </w:t>
      </w:r>
      <w:r w:rsidRPr="00727620">
        <w:rPr>
          <w:rFonts w:ascii="Times New Roman" w:hAnsi="Times New Roman" w:cs="Times New Roman"/>
          <w:sz w:val="24"/>
          <w:szCs w:val="24"/>
        </w:rPr>
        <w:t xml:space="preserve">"ЛАЙФ ИНТЕНШН"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(далее – «ЛАЙФ ИНТЕНШН»)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</w:rPr>
        <w:t xml:space="preserve">625053, Тюменская область, г Тюмень, Малая </w:t>
      </w:r>
      <w:proofErr w:type="spellStart"/>
      <w:r w:rsidRPr="00727620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62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27620">
        <w:rPr>
          <w:rFonts w:ascii="Times New Roman" w:hAnsi="Times New Roman" w:cs="Times New Roman"/>
          <w:sz w:val="24"/>
          <w:szCs w:val="24"/>
        </w:rPr>
        <w:t>,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7620">
        <w:rPr>
          <w:rFonts w:ascii="Times New Roman" w:hAnsi="Times New Roman" w:cs="Times New Roman"/>
          <w:sz w:val="24"/>
          <w:szCs w:val="24"/>
        </w:rPr>
        <w:t xml:space="preserve">д. 28 к. 1, </w:t>
      </w:r>
      <w:proofErr w:type="spellStart"/>
      <w:r w:rsidRPr="00727620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727620">
        <w:rPr>
          <w:rFonts w:ascii="Times New Roman" w:hAnsi="Times New Roman" w:cs="Times New Roman"/>
          <w:sz w:val="24"/>
          <w:szCs w:val="24"/>
        </w:rPr>
        <w:t>. 1</w:t>
      </w:r>
    </w:p>
    <w:p w:rsidR="00BD0FE4" w:rsidRPr="00727620" w:rsidRDefault="00BD0FE4" w:rsidP="00BD0FE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Батюкова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О.Д</w:t>
      </w:r>
    </w:p>
    <w:p w:rsidR="00BD0FE4" w:rsidRPr="00727620" w:rsidRDefault="00BD0FE4" w:rsidP="00BD0FE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hAnsi="Times New Roman" w:cs="Times New Roman"/>
          <w:sz w:val="24"/>
          <w:szCs w:val="24"/>
        </w:rPr>
        <w:t>7203571250</w:t>
      </w:r>
      <w:proofErr w:type="gramEnd"/>
      <w:r w:rsidRPr="00727620">
        <w:rPr>
          <w:rFonts w:ascii="Times New Roman" w:hAnsi="Times New Roman" w:cs="Times New Roman"/>
          <w:sz w:val="24"/>
          <w:szCs w:val="24"/>
        </w:rPr>
        <w:t>/720301001</w:t>
      </w:r>
    </w:p>
    <w:p w:rsidR="007E6245" w:rsidRPr="00727620" w:rsidRDefault="00BD0FE4" w:rsidP="0072762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</w:rPr>
        <w:t>1247200004017</w:t>
      </w: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D94B6E" w:rsidP="0015390B">
      <w:pPr>
        <w:pStyle w:val="a5"/>
        <w:numPr>
          <w:ilvl w:val="0"/>
          <w:numId w:val="4"/>
        </w:num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Территория проведения </w:t>
      </w:r>
      <w:r w:rsidR="0062719D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Акции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Акция проводится на территории</w:t>
      </w:r>
      <w:r w:rsidR="0015390B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:</w:t>
      </w:r>
    </w:p>
    <w:p w:rsidR="0015390B" w:rsidRPr="00727620" w:rsidRDefault="0015390B" w:rsidP="0015390B">
      <w:pPr>
        <w:pStyle w:val="a5"/>
        <w:spacing w:before="300" w:after="60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Свердлова 5/1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Ямская, 86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Монтажников,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Газовиков,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Менделеева, 5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Московский тракт, 88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Холодильная, 118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 Московский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Бурлаки, 14А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proofErr w:type="spellStart"/>
      <w:proofErr w:type="gramStart"/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пос.Московский</w:t>
      </w:r>
      <w:proofErr w:type="spellEnd"/>
      <w:proofErr w:type="gram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Джанбровского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17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Федерация, Тюменская область, с. Перевалово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Заречная, 25А</w:t>
      </w:r>
    </w:p>
    <w:p w:rsidR="0015390B" w:rsidRPr="0015390B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Малая </w:t>
      </w:r>
      <w:proofErr w:type="spellStart"/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Боровская</w:t>
      </w:r>
      <w:proofErr w:type="spellEnd"/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28/1</w:t>
      </w:r>
    </w:p>
    <w:p w:rsidR="0015390B" w:rsidRPr="0015390B" w:rsidRDefault="0015390B" w:rsidP="001539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50 лет Октября,4</w:t>
      </w:r>
    </w:p>
    <w:p w:rsidR="0015390B" w:rsidRPr="0015390B" w:rsidRDefault="0015390B" w:rsidP="001539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Республики,86/1</w:t>
      </w:r>
    </w:p>
    <w:p w:rsidR="0015390B" w:rsidRPr="0015390B" w:rsidRDefault="0015390B" w:rsidP="001539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Тимофея Чаркова,83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15390B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  <w:t>на основании лицензий №:</w:t>
      </w:r>
    </w:p>
    <w:p w:rsidR="00D94B6E" w:rsidRPr="00727620" w:rsidRDefault="00D94B6E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B00C8F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ЛО41-01107-72/00574629 от 09.11.2017г.</w:t>
      </w:r>
    </w:p>
    <w:p w:rsidR="0015390B" w:rsidRPr="00727620" w:rsidRDefault="000A631F" w:rsidP="00B00C8F">
      <w:pPr>
        <w:spacing w:after="0" w:line="390" w:lineRule="atLeast"/>
        <w:ind w:left="708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15390B" w:rsidRPr="00727620">
          <w:rPr>
            <w:rStyle w:val="fontstyle0"/>
            <w:rFonts w:ascii="Times New Roman" w:hAnsi="Times New Roman" w:cs="Times New Roman"/>
            <w:color w:val="000000" w:themeColor="text1"/>
            <w:sz w:val="24"/>
            <w:szCs w:val="24"/>
          </w:rPr>
          <w:t>Л041-01107-72/00348054 </w:t>
        </w:r>
        <w:r w:rsidR="0015390B" w:rsidRPr="0072762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от 29.12.2020 г.</w:t>
        </w:r>
      </w:hyperlink>
      <w:r w:rsidR="0015390B" w:rsidRPr="00727620">
        <w:rPr>
          <w:rStyle w:val="a4"/>
          <w:rFonts w:ascii="Times New Roman" w:hAnsi="Times New Roman" w:cs="Times New Roman"/>
          <w:color w:val="00BE6E"/>
          <w:sz w:val="24"/>
          <w:szCs w:val="24"/>
        </w:rPr>
        <w:br/>
      </w:r>
      <w:r w:rsidR="0015390B" w:rsidRPr="00727620">
        <w:rPr>
          <w:rFonts w:ascii="Times New Roman" w:hAnsi="Times New Roman" w:cs="Times New Roman"/>
          <w:sz w:val="24"/>
          <w:szCs w:val="24"/>
        </w:rPr>
        <w:t>Л041-01107-72/01241942 от 10.06.24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Л041-01107-72/00350770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 21.01.22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</w:r>
      <w:r w:rsidR="0015390B" w:rsidRPr="00727620">
        <w:rPr>
          <w:rFonts w:ascii="Times New Roman" w:hAnsi="Times New Roman" w:cs="Times New Roman"/>
          <w:sz w:val="24"/>
          <w:szCs w:val="24"/>
        </w:rPr>
        <w:lastRenderedPageBreak/>
        <w:t xml:space="preserve">Л041-01107-72/01943336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04.03.25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Л041-01107-72/00621328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14.10.22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Л041-01107-72/00382037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27.05.20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Л041-01107-72/00315718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15.08.17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Л041-01107-72/00285991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20.05.22</w:t>
      </w:r>
    </w:p>
    <w:p w:rsidR="0015390B" w:rsidRPr="00727620" w:rsidRDefault="0015390B" w:rsidP="00B00C8F">
      <w:pPr>
        <w:spacing w:after="0" w:line="390" w:lineRule="atLeast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sz w:val="24"/>
          <w:szCs w:val="24"/>
        </w:rPr>
        <w:t xml:space="preserve">ЛО41 </w:t>
      </w:r>
      <w:r w:rsidRPr="007276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-01107-72/01241942</w:t>
      </w:r>
      <w:r w:rsidR="00B00C8F" w:rsidRPr="0072762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276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10.06.2024</w:t>
      </w:r>
    </w:p>
    <w:p w:rsidR="00B00C8F" w:rsidRPr="00727620" w:rsidRDefault="00B00C8F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</w:p>
    <w:p w:rsidR="00FE2BA5" w:rsidRPr="00FE2BA5" w:rsidRDefault="00D94B6E" w:rsidP="00FE2BA5">
      <w:pPr>
        <w:pStyle w:val="a5"/>
        <w:numPr>
          <w:ilvl w:val="0"/>
          <w:numId w:val="4"/>
        </w:numPr>
        <w:spacing w:after="0" w:line="390" w:lineRule="atLeast"/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</w:pPr>
      <w:r w:rsidRPr="00FE2BA5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Порядок и способ информирования участников </w:t>
      </w:r>
      <w:r w:rsidR="008C471F" w:rsidRPr="00FE2BA5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Акции «Каждая 5 капельница </w:t>
      </w:r>
    </w:p>
    <w:p w:rsidR="00D94B6E" w:rsidRPr="00FE2BA5" w:rsidRDefault="008C471F" w:rsidP="00FE2BA5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FE2BA5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в подарок»</w:t>
      </w:r>
      <w:r w:rsidR="00D94B6E" w:rsidRPr="00FE2BA5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и ее сроках.</w:t>
      </w:r>
      <w:r w:rsidR="00B00C8F" w:rsidRPr="00FE2BA5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FE2BA5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.1. Участниками </w:t>
      </w:r>
      <w:r w:rsidRPr="00FE2BA5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Акции</w:t>
      </w:r>
      <w:r w:rsidR="00D94B6E" w:rsidRPr="00FE2BA5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являются совершеннолетние физические лица, дееспособные, проживающие на т</w:t>
      </w:r>
      <w:r w:rsidR="00B00C8F" w:rsidRPr="00FE2BA5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ерритории Российской Федерации</w:t>
      </w:r>
      <w:r w:rsidR="00B00C8F" w:rsidRPr="00FE2BA5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FE2BA5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.1.1. Применение Условий </w:t>
      </w:r>
      <w:r w:rsidRPr="00FE2BA5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Акции</w:t>
      </w:r>
      <w:r w:rsidR="003E3026" w:rsidRPr="00FE2BA5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D94B6E" w:rsidRPr="00FE2BA5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к недееспособным пациентам: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Участниками </w:t>
      </w:r>
      <w:r w:rsidR="008C471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Акции</w:t>
      </w:r>
      <w:r w:rsidR="003E3026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также являются совершеннолетние физические лица, дееспособные, проживающие на территории Российской Федерации, действующие в интересах совершеннолетних недееспособных пациентов (опекуны или иные законные представители) и принявшие участие в </w:t>
      </w:r>
      <w:r w:rsidR="008C471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Акции.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К недееспособным пациентам относятся лица, ограниченные в дееспособности или признанные недееспособными в установленном законом порядке. При заключении договора на оказание платных медицинских услуг законные представители недееспособных пациентов обязаны подтвердить свои полномочия действовать от имени недееспособных пациентов в установленном законом порядке (подтвердить установление опеки и т.п.).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В отношении лиц, признанных в установленном законом порядке недееспособными, если такие лица по своему состоянию не способны дать согласие на медицинское вмешательство, информированное добровольное согласие на медицинское вмешательство дает законный представитель недееспособного лица.</w:t>
      </w:r>
    </w:p>
    <w:p w:rsidR="00D94B6E" w:rsidRPr="00D94B6E" w:rsidRDefault="00D94B6E" w:rsidP="00D94B6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 окончании выполнения </w:t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медицинских услуг </w:t>
      </w:r>
      <w:r w:rsidR="009811C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заключение или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результаты недееспособных лиц выдаются их законным представителям, выступающим заказчиками при заключении договора.</w:t>
      </w:r>
    </w:p>
    <w:p w:rsidR="00D94B6E" w:rsidRPr="00D94B6E" w:rsidRDefault="00D94B6E" w:rsidP="00D94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4.</w:t>
      </w:r>
      <w:proofErr w:type="gramStart"/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Участники</w:t>
      </w:r>
      <w:proofErr w:type="gramEnd"/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="008C471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Акции</w:t>
      </w:r>
      <w:r w:rsidR="00226E8A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информируются об условиях и сроках ее проведения через следующие источники:</w:t>
      </w:r>
    </w:p>
    <w:p w:rsidR="00D94B6E" w:rsidRPr="00D94B6E" w:rsidRDefault="00D94B6E" w:rsidP="00D94B6E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</w:t>
      </w:r>
      <w:r w:rsidR="008C471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Акции</w:t>
      </w:r>
      <w:r w:rsidR="00226E8A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размещены на интернет-сайте </w:t>
      </w:r>
      <w:hyperlink r:id="rId9" w:history="1">
        <w:r w:rsidRPr="00727620">
          <w:rPr>
            <w:rFonts w:ascii="Times New Roman" w:eastAsia="Times New Roman" w:hAnsi="Times New Roman" w:cs="Times New Roman"/>
            <w:color w:val="45B553"/>
            <w:sz w:val="24"/>
            <w:szCs w:val="24"/>
            <w:u w:val="single"/>
            <w:lang w:eastAsia="ru-RU"/>
          </w:rPr>
          <w:t>https://helix.expert</w:t>
        </w:r>
      </w:hyperlink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;</w:t>
      </w:r>
    </w:p>
    <w:p w:rsidR="00B00C8F" w:rsidRPr="00727620" w:rsidRDefault="00D94B6E" w:rsidP="00B00C8F">
      <w:pPr>
        <w:numPr>
          <w:ilvl w:val="0"/>
          <w:numId w:val="2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</w:t>
      </w:r>
      <w:r w:rsidR="008C471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Акции</w:t>
      </w:r>
      <w:r w:rsidR="00E26984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можно получить у администраторов медицинских центров, а также по телефону горячей линии </w:t>
      </w:r>
      <w:hyperlink r:id="rId10" w:history="1">
        <w:r w:rsidRPr="00727620">
          <w:rPr>
            <w:rFonts w:ascii="Times New Roman" w:eastAsia="Times New Roman" w:hAnsi="Times New Roman" w:cs="Times New Roman"/>
            <w:color w:val="45B553"/>
            <w:sz w:val="24"/>
            <w:szCs w:val="24"/>
            <w:u w:val="single"/>
            <w:lang w:eastAsia="ru-RU"/>
          </w:rPr>
          <w:t>+73452515144</w:t>
        </w:r>
      </w:hyperlink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 для звонков с территории Российской Федерации.</w:t>
      </w:r>
    </w:p>
    <w:p w:rsidR="00B00C8F" w:rsidRPr="00727620" w:rsidRDefault="00B00C8F" w:rsidP="00B00C8F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B00C8F" w:rsidRPr="00727620" w:rsidRDefault="00B00C8F" w:rsidP="00B00C8F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 xml:space="preserve">5.Условия </w:t>
      </w:r>
      <w:r w:rsidR="008C471F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Акции</w:t>
      </w:r>
      <w:r w:rsidRPr="00E26984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:</w:t>
      </w:r>
    </w:p>
    <w:p w:rsidR="008C471F" w:rsidRDefault="008C471F" w:rsidP="008C471F">
      <w:pPr>
        <w:pStyle w:val="a3"/>
      </w:pPr>
      <w:r>
        <w:t xml:space="preserve">5.1. В Акции могут принять участие физические лица, достигшие 18-летнего возраста, прошедшие медицинскую консультацию и имеющие направление от врача на проведение </w:t>
      </w:r>
      <w:proofErr w:type="spellStart"/>
      <w:r w:rsidR="005049E0">
        <w:t>инфузионно</w:t>
      </w:r>
      <w:proofErr w:type="spellEnd"/>
      <w:r w:rsidR="005049E0">
        <w:t>-</w:t>
      </w:r>
      <w:r>
        <w:t>капельной терапии.</w:t>
      </w:r>
    </w:p>
    <w:p w:rsidR="008C471F" w:rsidRDefault="00FE6579" w:rsidP="00FE6579">
      <w:pPr>
        <w:pStyle w:val="a3"/>
      </w:pPr>
      <w:r>
        <w:lastRenderedPageBreak/>
        <w:t xml:space="preserve">5.2. </w:t>
      </w:r>
      <w:r w:rsidR="008C471F">
        <w:t xml:space="preserve">Оплатить курс капельной терапии в размере </w:t>
      </w:r>
      <w:r w:rsidR="008C471F">
        <w:rPr>
          <w:rStyle w:val="a6"/>
        </w:rPr>
        <w:t>5 (пяти)</w:t>
      </w:r>
      <w:r w:rsidR="008C471F">
        <w:t xml:space="preserve"> или </w:t>
      </w:r>
      <w:r w:rsidR="008C471F">
        <w:rPr>
          <w:rStyle w:val="a6"/>
        </w:rPr>
        <w:t>10 (десяти)</w:t>
      </w:r>
      <w:r w:rsidR="008C471F">
        <w:t xml:space="preserve"> капельниц </w:t>
      </w:r>
      <w:r w:rsidR="008C471F">
        <w:rPr>
          <w:rStyle w:val="a6"/>
        </w:rPr>
        <w:t>единовременно</w:t>
      </w:r>
      <w:r w:rsidR="008C471F">
        <w:t>.</w:t>
      </w:r>
    </w:p>
    <w:p w:rsidR="00FE6579" w:rsidRPr="00FE6579" w:rsidRDefault="00FE6579" w:rsidP="00FE6579">
      <w:pPr>
        <w:pStyle w:val="a3"/>
      </w:pPr>
      <w:r w:rsidRPr="00FE6579">
        <w:t xml:space="preserve">5.3. </w:t>
      </w:r>
      <w:r w:rsidR="008C471F">
        <w:t>Предъявить направление от врача, выданное на прохождение</w:t>
      </w:r>
      <w:r w:rsidR="005049E0">
        <w:t xml:space="preserve"> </w:t>
      </w:r>
      <w:proofErr w:type="spellStart"/>
      <w:r w:rsidR="005049E0">
        <w:t>инфузионно</w:t>
      </w:r>
      <w:proofErr w:type="spellEnd"/>
      <w:r w:rsidR="005049E0">
        <w:t>-</w:t>
      </w:r>
      <w:r w:rsidR="008C471F">
        <w:t>капельной терапии в медицинском центре.</w:t>
      </w:r>
      <w:r w:rsidR="00286B10" w:rsidRPr="00286B10">
        <w:t xml:space="preserve"> Предложение действительно только при прохождении капельной терапии препаратами </w:t>
      </w:r>
      <w:r w:rsidR="00286B10">
        <w:t>медицинского центра</w:t>
      </w:r>
      <w:bookmarkStart w:id="0" w:name="_GoBack"/>
      <w:bookmarkEnd w:id="0"/>
      <w:r w:rsidR="00286B10" w:rsidRPr="00286B10">
        <w:t>.</w:t>
      </w:r>
      <w:r>
        <w:br/>
      </w:r>
      <w:r w:rsidRPr="00FE6579">
        <w:rPr>
          <w:b/>
          <w:bCs/>
        </w:rPr>
        <w:t>Стоимость препаратов (лекарственных средств)</w:t>
      </w:r>
      <w:r w:rsidRPr="00FE6579">
        <w:t xml:space="preserve">, применяемых в ходе терапии, </w:t>
      </w:r>
      <w:r w:rsidRPr="00FE6579">
        <w:rPr>
          <w:b/>
          <w:bCs/>
        </w:rPr>
        <w:t>оплачивается отдельно</w:t>
      </w:r>
      <w:r w:rsidRPr="00FE6579">
        <w:t xml:space="preserve"> и </w:t>
      </w:r>
      <w:r w:rsidRPr="00FE6579">
        <w:rPr>
          <w:b/>
          <w:bCs/>
        </w:rPr>
        <w:t>не входит</w:t>
      </w:r>
      <w:r w:rsidRPr="00FE6579">
        <w:t xml:space="preserve"> в стоимость курса, участвующего в Акции.</w:t>
      </w:r>
    </w:p>
    <w:p w:rsidR="008C471F" w:rsidRPr="00FE6579" w:rsidRDefault="00FE6579" w:rsidP="00FE6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FE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Акция </w:t>
      </w:r>
      <w:r w:rsidRPr="00FE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распространяется</w:t>
      </w:r>
      <w:r w:rsidRPr="00FE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услуги, связанные с витаминно-капельными коктейлями, а также не применяется к иным специальным предложениям, скидкам или акциям, действующим в медицинском центре на момент оплаты.</w:t>
      </w:r>
      <w:r w:rsidR="0050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распространяется на программу лояльности ЮДС. </w:t>
      </w:r>
    </w:p>
    <w:p w:rsidR="00346AA7" w:rsidRPr="00727620" w:rsidRDefault="00346AA7" w:rsidP="00E26984">
      <w:p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46AA7" w:rsidRPr="00727620" w:rsidRDefault="00346AA7" w:rsidP="00346AA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</w:t>
      </w:r>
      <w:r w:rsidR="00FE6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Акции 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проведения Акции: с «</w:t>
      </w:r>
      <w:r w:rsidR="0050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02» января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по «31» декабря 2025 года включительно.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Срок действия </w:t>
      </w:r>
      <w:r w:rsidR="00B02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продлен автоматически.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FE65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завершена досрочно. 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AA7" w:rsidRPr="00727620" w:rsidRDefault="00346AA7" w:rsidP="00B02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Дополнительные условия</w:t>
      </w:r>
      <w:r w:rsidR="00B0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AA7" w:rsidRPr="00346AA7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Участнику </w:t>
      </w:r>
      <w:proofErr w:type="gramStart"/>
      <w:r w:rsidR="0062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отказано в участии в </w:t>
      </w:r>
      <w:r w:rsidR="00627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</w:t>
      </w:r>
      <w:r w:rsidR="00627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6AA7" w:rsidRPr="00346AA7" w:rsidRDefault="00727620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</w:t>
      </w:r>
      <w:r w:rsidR="00627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B02BEC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оставляют за собой право не вступать в письменные переговоры либо иные контакты с Участниками </w:t>
      </w:r>
      <w:r w:rsidR="00627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случаев, предусмотренных настоящими Правилами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AA7" w:rsidRPr="00346AA7" w:rsidRDefault="00727620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</w:t>
      </w:r>
      <w:r w:rsidR="00627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B02BEC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подразумевает ознакомление и полное согласие Участников </w:t>
      </w:r>
      <w:r w:rsidR="00627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B02BEC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настоящими Правилами. </w:t>
      </w:r>
    </w:p>
    <w:p w:rsidR="00346AA7" w:rsidRPr="00346AA7" w:rsidRDefault="00727620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Участникам  </w:t>
      </w:r>
      <w:r w:rsidR="0062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="00B02BEC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AA7"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может  быть  выплачен  денежный  эквивалент  стоимости 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услуг.</w:t>
      </w:r>
    </w:p>
    <w:p w:rsidR="00346AA7" w:rsidRPr="00346AA7" w:rsidRDefault="00346AA7" w:rsidP="00346A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0C8F" w:rsidRPr="00B00C8F" w:rsidRDefault="00B00C8F" w:rsidP="00346AA7">
      <w:pPr>
        <w:spacing w:after="0" w:line="330" w:lineRule="atLeast"/>
        <w:rPr>
          <w:rFonts w:ascii="Din Next" w:eastAsia="Times New Roman" w:hAnsi="Din Next" w:cs="Times New Roman"/>
          <w:b/>
          <w:color w:val="111827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E41BFA" w:rsidRDefault="00E41BFA"/>
    <w:sectPr w:rsidR="00E41B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1F" w:rsidRDefault="000A631F" w:rsidP="00226E8A">
      <w:pPr>
        <w:spacing w:after="0" w:line="240" w:lineRule="auto"/>
      </w:pPr>
      <w:r>
        <w:separator/>
      </w:r>
    </w:p>
  </w:endnote>
  <w:endnote w:type="continuationSeparator" w:id="0">
    <w:p w:rsidR="000A631F" w:rsidRDefault="000A631F" w:rsidP="0022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 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1F" w:rsidRDefault="000A631F" w:rsidP="00226E8A">
      <w:pPr>
        <w:spacing w:after="0" w:line="240" w:lineRule="auto"/>
      </w:pPr>
      <w:r>
        <w:separator/>
      </w:r>
    </w:p>
  </w:footnote>
  <w:footnote w:type="continuationSeparator" w:id="0">
    <w:p w:rsidR="000A631F" w:rsidRDefault="000A631F" w:rsidP="0022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8A" w:rsidRDefault="00226E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25E"/>
    <w:multiLevelType w:val="hybridMultilevel"/>
    <w:tmpl w:val="A252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18D5"/>
    <w:multiLevelType w:val="multilevel"/>
    <w:tmpl w:val="8D0A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62488"/>
    <w:multiLevelType w:val="multilevel"/>
    <w:tmpl w:val="3E0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392390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abstractNum w:abstractNumId="4" w15:restartNumberingAfterBreak="0">
    <w:nsid w:val="69397655"/>
    <w:multiLevelType w:val="multilevel"/>
    <w:tmpl w:val="FC94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24132"/>
    <w:multiLevelType w:val="hybridMultilevel"/>
    <w:tmpl w:val="200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30482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4"/>
    <w:rsid w:val="000A631F"/>
    <w:rsid w:val="000F0551"/>
    <w:rsid w:val="001039B5"/>
    <w:rsid w:val="00127254"/>
    <w:rsid w:val="0013077E"/>
    <w:rsid w:val="0015390B"/>
    <w:rsid w:val="00204187"/>
    <w:rsid w:val="00226E8A"/>
    <w:rsid w:val="00286B10"/>
    <w:rsid w:val="00346AA7"/>
    <w:rsid w:val="003E3026"/>
    <w:rsid w:val="00492102"/>
    <w:rsid w:val="005049E0"/>
    <w:rsid w:val="0062719D"/>
    <w:rsid w:val="00637919"/>
    <w:rsid w:val="006935D2"/>
    <w:rsid w:val="00727620"/>
    <w:rsid w:val="00772DAE"/>
    <w:rsid w:val="007E6245"/>
    <w:rsid w:val="008C471F"/>
    <w:rsid w:val="009811CF"/>
    <w:rsid w:val="00A43728"/>
    <w:rsid w:val="00B00C8F"/>
    <w:rsid w:val="00B02BEC"/>
    <w:rsid w:val="00BD0FE4"/>
    <w:rsid w:val="00C44E51"/>
    <w:rsid w:val="00CA409A"/>
    <w:rsid w:val="00D343E2"/>
    <w:rsid w:val="00D44031"/>
    <w:rsid w:val="00D94B6E"/>
    <w:rsid w:val="00E26984"/>
    <w:rsid w:val="00E41BFA"/>
    <w:rsid w:val="00E87D30"/>
    <w:rsid w:val="00F47419"/>
    <w:rsid w:val="00FA3602"/>
    <w:rsid w:val="00FE2BA5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E365"/>
  <w15:chartTrackingRefBased/>
  <w15:docId w15:val="{9238FDCE-B6DB-41BC-A67E-982FA27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4B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5D2"/>
    <w:pPr>
      <w:ind w:left="720"/>
      <w:contextualSpacing/>
    </w:pPr>
  </w:style>
  <w:style w:type="paragraph" w:customStyle="1" w:styleId="LO-normal">
    <w:name w:val="LO-normal"/>
    <w:rsid w:val="00D343E2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styleId="a6">
    <w:name w:val="Strong"/>
    <w:basedOn w:val="a0"/>
    <w:uiPriority w:val="22"/>
    <w:qFormat/>
    <w:rsid w:val="0015390B"/>
    <w:rPr>
      <w:b/>
      <w:bCs/>
    </w:rPr>
  </w:style>
  <w:style w:type="character" w:customStyle="1" w:styleId="fontstyle0">
    <w:name w:val="fontstyle0"/>
    <w:basedOn w:val="a0"/>
    <w:rsid w:val="0015390B"/>
  </w:style>
  <w:style w:type="paragraph" w:styleId="a7">
    <w:name w:val="header"/>
    <w:basedOn w:val="a"/>
    <w:link w:val="a8"/>
    <w:uiPriority w:val="99"/>
    <w:unhideWhenUsed/>
    <w:rsid w:val="0022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6E8A"/>
  </w:style>
  <w:style w:type="paragraph" w:styleId="a9">
    <w:name w:val="footer"/>
    <w:basedOn w:val="a"/>
    <w:link w:val="aa"/>
    <w:uiPriority w:val="99"/>
    <w:unhideWhenUsed/>
    <w:rsid w:val="0022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x.ru/Upload/LicenseDC/Sertifikat_1098-DC_na_Gazovikov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tel:+73452575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ix.exper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31A8-90E0-4DC8-AC8B-AF6DFCAF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11</cp:revision>
  <dcterms:created xsi:type="dcterms:W3CDTF">2025-04-16T07:24:00Z</dcterms:created>
  <dcterms:modified xsi:type="dcterms:W3CDTF">2025-06-26T04:26:00Z</dcterms:modified>
</cp:coreProperties>
</file>